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9A" w:rsidRDefault="00F135AB">
      <w:pPr>
        <w:pStyle w:val="BodyText"/>
        <w:ind w:left="4870"/>
        <w:rPr>
          <w:sz w:val="20"/>
        </w:rPr>
      </w:pPr>
      <w:r>
        <w:rPr>
          <w:noProof/>
          <w:sz w:val="20"/>
        </w:rPr>
        <w:drawing>
          <wp:inline distT="0" distB="0" distL="0" distR="0">
            <wp:extent cx="2873778" cy="6522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73778" cy="652272"/>
                    </a:xfrm>
                    <a:prstGeom prst="rect">
                      <a:avLst/>
                    </a:prstGeom>
                  </pic:spPr>
                </pic:pic>
              </a:graphicData>
            </a:graphic>
          </wp:inline>
        </w:drawing>
      </w:r>
    </w:p>
    <w:p w:rsidR="003B294D" w:rsidRDefault="003B294D">
      <w:pPr>
        <w:pStyle w:val="BodyText"/>
        <w:ind w:left="4870"/>
        <w:rPr>
          <w:sz w:val="20"/>
        </w:rPr>
      </w:pPr>
    </w:p>
    <w:p w:rsidR="003B294D" w:rsidRDefault="003B294D">
      <w:pPr>
        <w:pStyle w:val="BodyText"/>
        <w:ind w:left="4870"/>
        <w:rPr>
          <w:sz w:val="20"/>
        </w:rPr>
      </w:pPr>
    </w:p>
    <w:p w:rsidR="00CF2A9A" w:rsidRDefault="00CF2A9A">
      <w:pPr>
        <w:pStyle w:val="BodyText"/>
        <w:spacing w:before="1"/>
        <w:rPr>
          <w:sz w:val="25"/>
        </w:rPr>
      </w:pPr>
    </w:p>
    <w:p w:rsidR="00CF2A9A" w:rsidRPr="00451D49" w:rsidRDefault="00F135AB" w:rsidP="00451D49">
      <w:pPr>
        <w:spacing w:before="89"/>
        <w:ind w:left="100"/>
        <w:rPr>
          <w:b/>
          <w:sz w:val="26"/>
        </w:rPr>
      </w:pPr>
      <w:r>
        <w:rPr>
          <w:b/>
          <w:sz w:val="26"/>
        </w:rPr>
        <w:t>For</w:t>
      </w:r>
      <w:r>
        <w:rPr>
          <w:b/>
          <w:spacing w:val="-6"/>
          <w:sz w:val="26"/>
        </w:rPr>
        <w:t xml:space="preserve"> </w:t>
      </w:r>
      <w:r>
        <w:rPr>
          <w:b/>
          <w:sz w:val="26"/>
        </w:rPr>
        <w:t>Immediate</w:t>
      </w:r>
      <w:r>
        <w:rPr>
          <w:b/>
          <w:spacing w:val="-6"/>
          <w:sz w:val="26"/>
        </w:rPr>
        <w:t xml:space="preserve"> </w:t>
      </w:r>
      <w:r>
        <w:rPr>
          <w:b/>
          <w:spacing w:val="-2"/>
          <w:sz w:val="26"/>
        </w:rPr>
        <w:t>Release:</w:t>
      </w:r>
    </w:p>
    <w:p w:rsidR="00CF2A9A" w:rsidRDefault="00F135AB">
      <w:pPr>
        <w:ind w:left="100"/>
        <w:rPr>
          <w:b/>
          <w:sz w:val="24"/>
        </w:rPr>
      </w:pPr>
      <w:r>
        <w:rPr>
          <w:b/>
          <w:sz w:val="24"/>
        </w:rPr>
        <w:t xml:space="preserve">Contact: </w:t>
      </w:r>
      <w:r w:rsidR="00A50DD7">
        <w:rPr>
          <w:b/>
          <w:sz w:val="24"/>
        </w:rPr>
        <w:t>Desiree Morris</w:t>
      </w:r>
    </w:p>
    <w:p w:rsidR="00CF2A9A" w:rsidRDefault="00A50DD7">
      <w:pPr>
        <w:ind w:left="820" w:right="2281"/>
        <w:rPr>
          <w:b/>
          <w:sz w:val="24"/>
        </w:rPr>
      </w:pPr>
      <w:r>
        <w:rPr>
          <w:b/>
          <w:sz w:val="24"/>
        </w:rPr>
        <w:t>desiree.morris@yti.edu</w:t>
      </w:r>
    </w:p>
    <w:p w:rsidR="00CF2A9A" w:rsidRDefault="00A50DD7">
      <w:pPr>
        <w:ind w:left="820"/>
        <w:rPr>
          <w:b/>
          <w:sz w:val="24"/>
        </w:rPr>
      </w:pPr>
      <w:r>
        <w:rPr>
          <w:b/>
          <w:sz w:val="24"/>
        </w:rPr>
        <w:t>717.654.1793</w:t>
      </w:r>
    </w:p>
    <w:p w:rsidR="009D1601" w:rsidRPr="009D1601" w:rsidRDefault="009D1601" w:rsidP="007E3652">
      <w:pPr>
        <w:spacing w:before="100" w:beforeAutospacing="1" w:after="100" w:afterAutospacing="1"/>
        <w:rPr>
          <w:b/>
          <w:sz w:val="28"/>
          <w:szCs w:val="28"/>
        </w:rPr>
      </w:pPr>
      <w:r w:rsidRPr="009D1601">
        <w:rPr>
          <w:b/>
          <w:sz w:val="28"/>
          <w:szCs w:val="28"/>
        </w:rPr>
        <w:t>P</w:t>
      </w:r>
      <w:r w:rsidRPr="009D1601">
        <w:rPr>
          <w:b/>
          <w:sz w:val="28"/>
          <w:szCs w:val="28"/>
        </w:rPr>
        <w:t>orter and Chester Institute</w:t>
      </w:r>
      <w:r w:rsidRPr="009D1601">
        <w:rPr>
          <w:b/>
          <w:sz w:val="28"/>
          <w:szCs w:val="28"/>
        </w:rPr>
        <w:t xml:space="preserve"> Bridgeport Campus Joins Fairfield County Electrical Association (FCEA)</w:t>
      </w:r>
    </w:p>
    <w:p w:rsidR="009D1601" w:rsidRPr="009D1601" w:rsidRDefault="009D1601" w:rsidP="009D1601">
      <w:pPr>
        <w:pStyle w:val="NormalWeb"/>
        <w:rPr>
          <w:rFonts w:asciiTheme="minorHAnsi" w:hAnsiTheme="minorHAnsi" w:cstheme="minorHAnsi"/>
        </w:rPr>
      </w:pPr>
      <w:r w:rsidRPr="009D1601">
        <w:rPr>
          <w:rStyle w:val="Strong"/>
          <w:rFonts w:asciiTheme="minorHAnsi" w:hAnsiTheme="minorHAnsi" w:cstheme="minorHAnsi"/>
        </w:rPr>
        <w:t>Bridgeport, CT — August 22, 2025</w:t>
      </w:r>
      <w:r w:rsidRPr="009D1601">
        <w:rPr>
          <w:rFonts w:asciiTheme="minorHAnsi" w:hAnsiTheme="minorHAnsi" w:cstheme="minorHAnsi"/>
        </w:rPr>
        <w:t xml:space="preserve"> — P</w:t>
      </w:r>
      <w:r w:rsidRPr="009D1601">
        <w:rPr>
          <w:rFonts w:asciiTheme="minorHAnsi" w:hAnsiTheme="minorHAnsi" w:cstheme="minorHAnsi"/>
        </w:rPr>
        <w:t xml:space="preserve">orter and Chester Institute </w:t>
      </w:r>
      <w:r w:rsidRPr="009D1601">
        <w:rPr>
          <w:rFonts w:asciiTheme="minorHAnsi" w:hAnsiTheme="minorHAnsi" w:cstheme="minorHAnsi"/>
        </w:rPr>
        <w:t xml:space="preserve">Bridgeport campus is proud to announce its official membership in the </w:t>
      </w:r>
      <w:r w:rsidRPr="009D1601">
        <w:rPr>
          <w:rStyle w:val="Strong"/>
          <w:rFonts w:asciiTheme="minorHAnsi" w:hAnsiTheme="minorHAnsi" w:cstheme="minorHAnsi"/>
          <w:b w:val="0"/>
        </w:rPr>
        <w:t>Fairfield County Electrical Association (FCEA)</w:t>
      </w:r>
      <w:r w:rsidRPr="009D1601">
        <w:rPr>
          <w:rFonts w:asciiTheme="minorHAnsi" w:hAnsiTheme="minorHAnsi" w:cstheme="minorHAnsi"/>
        </w:rPr>
        <w:t>, reinforcing its commitment to advancing electrical education, professional development, and industry collaboration throughout the region.</w:t>
      </w:r>
    </w:p>
    <w:p w:rsidR="009D1601" w:rsidRPr="009D1601" w:rsidRDefault="009D1601" w:rsidP="009D1601">
      <w:pPr>
        <w:pStyle w:val="NormalWeb"/>
        <w:rPr>
          <w:rFonts w:asciiTheme="minorHAnsi" w:hAnsiTheme="minorHAnsi" w:cstheme="minorHAnsi"/>
        </w:rPr>
      </w:pPr>
      <w:r w:rsidRPr="009D1601">
        <w:rPr>
          <w:rStyle w:val="relative"/>
          <w:rFonts w:asciiTheme="minorHAnsi" w:hAnsiTheme="minorHAnsi" w:cstheme="minorHAnsi"/>
        </w:rPr>
        <w:t>The FCEA—a longstanding pillar in Fairfield County’s electrical industry—offers a wide range of benefits to its members, including code seminars, CEU-approved classes, electrical inspector forums, peer networking, and access to vendors showcasing the latest in time-saving solutions</w:t>
      </w:r>
      <w:r w:rsidRPr="009D1601">
        <w:rPr>
          <w:rFonts w:asciiTheme="minorHAnsi" w:hAnsiTheme="minorHAnsi" w:cstheme="minorHAnsi"/>
        </w:rPr>
        <w:t xml:space="preserve"> </w:t>
      </w:r>
      <w:hyperlink r:id="rId6" w:tgtFrame="_blank" w:history="1">
        <w:r w:rsidRPr="009D1601">
          <w:rPr>
            <w:rStyle w:val="max-w-full"/>
            <w:rFonts w:asciiTheme="minorHAnsi" w:hAnsiTheme="minorHAnsi" w:cstheme="minorHAnsi"/>
            <w:color w:val="0000FF"/>
            <w:u w:val="single"/>
          </w:rPr>
          <w:t>fceainc.com</w:t>
        </w:r>
      </w:hyperlink>
      <w:r w:rsidRPr="009D1601">
        <w:rPr>
          <w:rFonts w:asciiTheme="minorHAnsi" w:hAnsiTheme="minorHAnsi" w:cstheme="minorHAnsi"/>
        </w:rPr>
        <w:t xml:space="preserve">. </w:t>
      </w:r>
      <w:r w:rsidRPr="009D1601">
        <w:rPr>
          <w:rStyle w:val="relative"/>
          <w:rFonts w:asciiTheme="minorHAnsi" w:hAnsiTheme="minorHAnsi" w:cstheme="minorHAnsi"/>
        </w:rPr>
        <w:t>As a new member, the PCI Bridgeport campus will now actively engage in these offerings, contributing both to its own growth and the broader professional community.</w:t>
      </w:r>
    </w:p>
    <w:p w:rsidR="009D1601" w:rsidRPr="009D1601" w:rsidRDefault="009D1601" w:rsidP="009D1601">
      <w:pPr>
        <w:pStyle w:val="NormalWeb"/>
        <w:rPr>
          <w:rFonts w:asciiTheme="minorHAnsi" w:hAnsiTheme="minorHAnsi" w:cstheme="minorHAnsi"/>
        </w:rPr>
      </w:pPr>
      <w:bookmarkStart w:id="0" w:name="_GoBack"/>
      <w:r w:rsidRPr="009D1601">
        <w:rPr>
          <w:rStyle w:val="Strong"/>
          <w:rFonts w:asciiTheme="minorHAnsi" w:hAnsiTheme="minorHAnsi" w:cstheme="minorHAnsi"/>
          <w:b w:val="0"/>
        </w:rPr>
        <w:t>“We’re thrilled to welcome PCI Bridgeport into the FCEA family,”</w:t>
      </w:r>
      <w:r w:rsidR="002F5439">
        <w:rPr>
          <w:rFonts w:asciiTheme="minorHAnsi" w:hAnsiTheme="minorHAnsi" w:cstheme="minorHAnsi"/>
        </w:rPr>
        <w:t xml:space="preserve"> said To</w:t>
      </w:r>
      <w:r w:rsidRPr="009D1601">
        <w:rPr>
          <w:rFonts w:asciiTheme="minorHAnsi" w:hAnsiTheme="minorHAnsi" w:cstheme="minorHAnsi"/>
        </w:rPr>
        <w:t xml:space="preserve">m D’Amico, President of the Fairfield County Electrical Association. </w:t>
      </w:r>
      <w:r w:rsidRPr="009D1601">
        <w:rPr>
          <w:rStyle w:val="Strong"/>
          <w:rFonts w:asciiTheme="minorHAnsi" w:hAnsiTheme="minorHAnsi" w:cstheme="minorHAnsi"/>
          <w:b w:val="0"/>
        </w:rPr>
        <w:t>“Their dedication to comprehensive electrical education aligns perfectly with our mission of strengthening the industry through knowledge sharing, ongoing training, and cooperative networking. We look forward to the active participation and unique perspective that PCI will bring to our association.”</w:t>
      </w:r>
    </w:p>
    <w:bookmarkEnd w:id="0"/>
    <w:p w:rsidR="009D1601" w:rsidRPr="009D1601" w:rsidRDefault="009D1601" w:rsidP="009D1601">
      <w:pPr>
        <w:pStyle w:val="NormalWeb"/>
        <w:rPr>
          <w:rStyle w:val="Strong"/>
          <w:rFonts w:asciiTheme="minorHAnsi" w:hAnsiTheme="minorHAnsi" w:cstheme="minorHAnsi"/>
          <w:b w:val="0"/>
        </w:rPr>
      </w:pPr>
      <w:r w:rsidRPr="009D1601">
        <w:rPr>
          <w:rStyle w:val="relative"/>
          <w:rFonts w:asciiTheme="minorHAnsi" w:hAnsiTheme="minorHAnsi" w:cstheme="minorHAnsi"/>
        </w:rPr>
        <w:t xml:space="preserve">From the PCI side, Jim Bologa commented, </w:t>
      </w:r>
      <w:r w:rsidRPr="009D1601">
        <w:rPr>
          <w:rStyle w:val="Strong"/>
          <w:rFonts w:asciiTheme="minorHAnsi" w:hAnsiTheme="minorHAnsi" w:cstheme="minorHAnsi"/>
          <w:b w:val="0"/>
        </w:rPr>
        <w:t>“Joining FCEA marks a significant step for our Bridgeport campus. We believe in the power of industry collaboration and peer learning—and FCEA has long been a leader in delivering that. Through this membership, our students and faculty will access premier training, insights, and networking that enhance our educational offerings and professional impact.”</w:t>
      </w:r>
    </w:p>
    <w:p w:rsidR="009D1601" w:rsidRPr="009D1601" w:rsidRDefault="009D1601" w:rsidP="009D1601">
      <w:pPr>
        <w:pStyle w:val="NormalWeb"/>
        <w:rPr>
          <w:rFonts w:asciiTheme="minorHAnsi" w:hAnsiTheme="minorHAnsi" w:cstheme="minorHAnsi"/>
        </w:rPr>
      </w:pPr>
      <w:r w:rsidRPr="009D1601">
        <w:rPr>
          <w:rStyle w:val="Strong"/>
          <w:rFonts w:asciiTheme="minorHAnsi" w:hAnsiTheme="minorHAnsi" w:cstheme="minorHAnsi"/>
          <w:bCs w:val="0"/>
        </w:rPr>
        <w:t>About Fairfield County Electrical Association (FCEA)</w:t>
      </w:r>
    </w:p>
    <w:p w:rsidR="009D1601" w:rsidRPr="009D1601" w:rsidRDefault="009D1601" w:rsidP="009D1601">
      <w:pPr>
        <w:pStyle w:val="NormalWeb"/>
        <w:rPr>
          <w:rFonts w:asciiTheme="minorHAnsi" w:hAnsiTheme="minorHAnsi" w:cstheme="minorHAnsi"/>
        </w:rPr>
      </w:pPr>
      <w:r w:rsidRPr="009D1601">
        <w:rPr>
          <w:rStyle w:val="relative"/>
          <w:rFonts w:asciiTheme="minorHAnsi" w:hAnsiTheme="minorHAnsi" w:cstheme="minorHAnsi"/>
        </w:rPr>
        <w:t>The FCEA is dedicated to supporting Fairfield County’s electrical professionals—including contractors, engineers, distributors, inspectors, utility representatives, and manufacturer reps—through a centralized, responsible organization aimed at fostering communication, education, and professional excellence</w:t>
      </w:r>
    </w:p>
    <w:p w:rsidR="006A2869" w:rsidRPr="009D1601" w:rsidRDefault="006A2869" w:rsidP="007E3652">
      <w:pPr>
        <w:widowControl/>
        <w:autoSpaceDE/>
        <w:autoSpaceDN/>
        <w:spacing w:before="100" w:beforeAutospacing="1" w:after="100" w:afterAutospacing="1"/>
        <w:rPr>
          <w:rFonts w:asciiTheme="minorHAnsi" w:hAnsiTheme="minorHAnsi" w:cstheme="minorHAnsi"/>
          <w:b/>
          <w:sz w:val="24"/>
          <w:szCs w:val="24"/>
        </w:rPr>
      </w:pPr>
      <w:r w:rsidRPr="009D1601">
        <w:rPr>
          <w:rFonts w:asciiTheme="minorHAnsi" w:hAnsiTheme="minorHAnsi" w:cstheme="minorHAnsi"/>
          <w:b/>
          <w:sz w:val="24"/>
          <w:szCs w:val="24"/>
        </w:rPr>
        <w:t>About</w:t>
      </w:r>
      <w:r w:rsidRPr="009D1601">
        <w:rPr>
          <w:rFonts w:asciiTheme="minorHAnsi" w:hAnsiTheme="minorHAnsi" w:cstheme="minorHAnsi"/>
          <w:b/>
          <w:spacing w:val="-5"/>
          <w:sz w:val="24"/>
          <w:szCs w:val="24"/>
        </w:rPr>
        <w:t xml:space="preserve"> </w:t>
      </w:r>
      <w:r w:rsidRPr="009D1601">
        <w:rPr>
          <w:rFonts w:asciiTheme="minorHAnsi" w:hAnsiTheme="minorHAnsi" w:cstheme="minorHAnsi"/>
          <w:b/>
          <w:sz w:val="24"/>
          <w:szCs w:val="24"/>
        </w:rPr>
        <w:t>Porter</w:t>
      </w:r>
      <w:r w:rsidRPr="009D1601">
        <w:rPr>
          <w:rFonts w:asciiTheme="minorHAnsi" w:hAnsiTheme="minorHAnsi" w:cstheme="minorHAnsi"/>
          <w:b/>
          <w:spacing w:val="-5"/>
          <w:sz w:val="24"/>
          <w:szCs w:val="24"/>
        </w:rPr>
        <w:t xml:space="preserve"> </w:t>
      </w:r>
      <w:r w:rsidRPr="009D1601">
        <w:rPr>
          <w:rFonts w:asciiTheme="minorHAnsi" w:hAnsiTheme="minorHAnsi" w:cstheme="minorHAnsi"/>
          <w:b/>
          <w:sz w:val="24"/>
          <w:szCs w:val="24"/>
        </w:rPr>
        <w:t>and</w:t>
      </w:r>
      <w:r w:rsidRPr="009D1601">
        <w:rPr>
          <w:rFonts w:asciiTheme="minorHAnsi" w:hAnsiTheme="minorHAnsi" w:cstheme="minorHAnsi"/>
          <w:b/>
          <w:spacing w:val="-5"/>
          <w:sz w:val="24"/>
          <w:szCs w:val="24"/>
        </w:rPr>
        <w:t xml:space="preserve"> </w:t>
      </w:r>
      <w:r w:rsidRPr="009D1601">
        <w:rPr>
          <w:rFonts w:asciiTheme="minorHAnsi" w:hAnsiTheme="minorHAnsi" w:cstheme="minorHAnsi"/>
          <w:b/>
          <w:sz w:val="24"/>
          <w:szCs w:val="24"/>
        </w:rPr>
        <w:t>Chester</w:t>
      </w:r>
      <w:r w:rsidRPr="009D1601">
        <w:rPr>
          <w:rFonts w:asciiTheme="minorHAnsi" w:hAnsiTheme="minorHAnsi" w:cstheme="minorHAnsi"/>
          <w:b/>
          <w:spacing w:val="-5"/>
          <w:sz w:val="24"/>
          <w:szCs w:val="24"/>
        </w:rPr>
        <w:t xml:space="preserve"> </w:t>
      </w:r>
      <w:r w:rsidRPr="009D1601">
        <w:rPr>
          <w:rFonts w:asciiTheme="minorHAnsi" w:hAnsiTheme="minorHAnsi" w:cstheme="minorHAnsi"/>
          <w:b/>
          <w:sz w:val="24"/>
          <w:szCs w:val="24"/>
        </w:rPr>
        <w:t>Institute:</w:t>
      </w:r>
      <w:r w:rsidRPr="009D1601">
        <w:rPr>
          <w:rFonts w:asciiTheme="minorHAnsi" w:hAnsiTheme="minorHAnsi" w:cstheme="minorHAnsi"/>
          <w:b/>
          <w:spacing w:val="-5"/>
          <w:sz w:val="24"/>
          <w:szCs w:val="24"/>
        </w:rPr>
        <w:t xml:space="preserve"> </w:t>
      </w:r>
      <w:r w:rsidRPr="009D1601">
        <w:rPr>
          <w:rFonts w:asciiTheme="minorHAnsi" w:hAnsiTheme="minorHAnsi" w:cstheme="minorHAnsi"/>
          <w:sz w:val="24"/>
          <w:szCs w:val="24"/>
        </w:rPr>
        <w:t>Porter</w:t>
      </w:r>
      <w:r w:rsidRPr="009D1601">
        <w:rPr>
          <w:rFonts w:asciiTheme="minorHAnsi" w:hAnsiTheme="minorHAnsi" w:cstheme="minorHAnsi"/>
          <w:spacing w:val="-5"/>
          <w:sz w:val="24"/>
          <w:szCs w:val="24"/>
        </w:rPr>
        <w:t xml:space="preserve"> </w:t>
      </w:r>
      <w:r w:rsidRPr="009D1601">
        <w:rPr>
          <w:rFonts w:asciiTheme="minorHAnsi" w:hAnsiTheme="minorHAnsi" w:cstheme="minorHAnsi"/>
          <w:sz w:val="24"/>
          <w:szCs w:val="24"/>
        </w:rPr>
        <w:t>and</w:t>
      </w:r>
      <w:r w:rsidRPr="009D1601">
        <w:rPr>
          <w:rFonts w:asciiTheme="minorHAnsi" w:hAnsiTheme="minorHAnsi" w:cstheme="minorHAnsi"/>
          <w:spacing w:val="-5"/>
          <w:sz w:val="24"/>
          <w:szCs w:val="24"/>
        </w:rPr>
        <w:t xml:space="preserve"> </w:t>
      </w:r>
      <w:r w:rsidRPr="009D1601">
        <w:rPr>
          <w:rFonts w:asciiTheme="minorHAnsi" w:hAnsiTheme="minorHAnsi" w:cstheme="minorHAnsi"/>
          <w:sz w:val="24"/>
          <w:szCs w:val="24"/>
        </w:rPr>
        <w:t>Chester</w:t>
      </w:r>
      <w:r w:rsidRPr="009D1601">
        <w:rPr>
          <w:rFonts w:asciiTheme="minorHAnsi" w:hAnsiTheme="minorHAnsi" w:cstheme="minorHAnsi"/>
          <w:spacing w:val="-5"/>
          <w:sz w:val="24"/>
          <w:szCs w:val="24"/>
        </w:rPr>
        <w:t xml:space="preserve"> </w:t>
      </w:r>
      <w:r w:rsidRPr="009D1601">
        <w:rPr>
          <w:rFonts w:asciiTheme="minorHAnsi" w:hAnsiTheme="minorHAnsi" w:cstheme="minorHAnsi"/>
          <w:sz w:val="24"/>
          <w:szCs w:val="24"/>
        </w:rPr>
        <w:t>Institute</w:t>
      </w:r>
      <w:r w:rsidRPr="009D1601">
        <w:rPr>
          <w:rFonts w:asciiTheme="minorHAnsi" w:hAnsiTheme="minorHAnsi" w:cstheme="minorHAnsi"/>
          <w:spacing w:val="-5"/>
          <w:sz w:val="24"/>
          <w:szCs w:val="24"/>
        </w:rPr>
        <w:t xml:space="preserve"> </w:t>
      </w:r>
      <w:r w:rsidRPr="009D1601">
        <w:rPr>
          <w:rFonts w:asciiTheme="minorHAnsi" w:hAnsiTheme="minorHAnsi" w:cstheme="minorHAnsi"/>
          <w:sz w:val="24"/>
          <w:szCs w:val="24"/>
        </w:rPr>
        <w:t>(PCI),</w:t>
      </w:r>
      <w:r w:rsidRPr="009D1601">
        <w:rPr>
          <w:rFonts w:asciiTheme="minorHAnsi" w:hAnsiTheme="minorHAnsi" w:cstheme="minorHAnsi"/>
          <w:spacing w:val="-5"/>
          <w:sz w:val="24"/>
          <w:szCs w:val="24"/>
        </w:rPr>
        <w:t xml:space="preserve"> </w:t>
      </w:r>
      <w:r w:rsidRPr="009D1601">
        <w:rPr>
          <w:rFonts w:asciiTheme="minorHAnsi" w:hAnsiTheme="minorHAnsi" w:cstheme="minorHAnsi"/>
          <w:sz w:val="24"/>
          <w:szCs w:val="24"/>
        </w:rPr>
        <w:t>a</w:t>
      </w:r>
      <w:r w:rsidRPr="009D1601">
        <w:rPr>
          <w:rFonts w:asciiTheme="minorHAnsi" w:hAnsiTheme="minorHAnsi" w:cstheme="minorHAnsi"/>
          <w:spacing w:val="-5"/>
          <w:sz w:val="24"/>
          <w:szCs w:val="24"/>
        </w:rPr>
        <w:t xml:space="preserve"> </w:t>
      </w:r>
      <w:r w:rsidRPr="009D1601">
        <w:rPr>
          <w:rFonts w:asciiTheme="minorHAnsi" w:hAnsiTheme="minorHAnsi" w:cstheme="minorHAnsi"/>
          <w:sz w:val="24"/>
          <w:szCs w:val="24"/>
        </w:rPr>
        <w:t>private, post-secondary technical institution with seven campuses throughout Connecticut and Massachusetts, featuring twelve</w:t>
      </w:r>
      <w:r w:rsidRPr="009D1601">
        <w:rPr>
          <w:rFonts w:asciiTheme="minorHAnsi" w:hAnsiTheme="minorHAnsi" w:cstheme="minorHAnsi"/>
          <w:spacing w:val="40"/>
          <w:sz w:val="24"/>
          <w:szCs w:val="24"/>
        </w:rPr>
        <w:t xml:space="preserve"> </w:t>
      </w:r>
      <w:r w:rsidRPr="009D1601">
        <w:rPr>
          <w:rFonts w:asciiTheme="minorHAnsi" w:hAnsiTheme="minorHAnsi" w:cstheme="minorHAnsi"/>
          <w:sz w:val="24"/>
          <w:szCs w:val="24"/>
        </w:rPr>
        <w:t>different career programs, supports committed students in</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achieving</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the</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technical</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and</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professional</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skills</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essential</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for</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their</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chosen</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career</w:t>
      </w:r>
      <w:r w:rsidRPr="009D1601">
        <w:rPr>
          <w:rFonts w:asciiTheme="minorHAnsi" w:hAnsiTheme="minorHAnsi" w:cstheme="minorHAnsi"/>
          <w:spacing w:val="-1"/>
          <w:sz w:val="24"/>
          <w:szCs w:val="24"/>
        </w:rPr>
        <w:t xml:space="preserve"> </w:t>
      </w:r>
      <w:r w:rsidRPr="009D1601">
        <w:rPr>
          <w:rFonts w:asciiTheme="minorHAnsi" w:hAnsiTheme="minorHAnsi" w:cstheme="minorHAnsi"/>
          <w:sz w:val="24"/>
          <w:szCs w:val="24"/>
        </w:rPr>
        <w:t>through industry-</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modeled,</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student-centered</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education</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and</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training.</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For</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more</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information,</w:t>
      </w:r>
      <w:r w:rsidRPr="009D1601">
        <w:rPr>
          <w:rFonts w:asciiTheme="minorHAnsi" w:hAnsiTheme="minorHAnsi" w:cstheme="minorHAnsi"/>
          <w:spacing w:val="-3"/>
          <w:sz w:val="24"/>
          <w:szCs w:val="24"/>
        </w:rPr>
        <w:t xml:space="preserve"> </w:t>
      </w:r>
      <w:r w:rsidRPr="009D1601">
        <w:rPr>
          <w:rFonts w:asciiTheme="minorHAnsi" w:hAnsiTheme="minorHAnsi" w:cstheme="minorHAnsi"/>
          <w:sz w:val="24"/>
          <w:szCs w:val="24"/>
        </w:rPr>
        <w:t xml:space="preserve">please visit PCI at </w:t>
      </w:r>
      <w:hyperlink r:id="rId7">
        <w:r w:rsidRPr="009D1601">
          <w:rPr>
            <w:rFonts w:asciiTheme="minorHAnsi" w:hAnsiTheme="minorHAnsi" w:cstheme="minorHAnsi"/>
            <w:color w:val="1154CC"/>
            <w:sz w:val="24"/>
            <w:szCs w:val="24"/>
          </w:rPr>
          <w:t>www.PorterChester.edu</w:t>
        </w:r>
      </w:hyperlink>
      <w:r w:rsidRPr="009D1601">
        <w:rPr>
          <w:rFonts w:asciiTheme="minorHAnsi" w:hAnsiTheme="minorHAnsi" w:cstheme="minorHAnsi"/>
          <w:color w:val="1154CC"/>
          <w:sz w:val="24"/>
          <w:szCs w:val="24"/>
        </w:rPr>
        <w:t xml:space="preserve"> </w:t>
      </w:r>
      <w:r w:rsidRPr="009D1601">
        <w:rPr>
          <w:rFonts w:asciiTheme="minorHAnsi" w:hAnsiTheme="minorHAnsi" w:cstheme="minorHAnsi"/>
          <w:sz w:val="24"/>
          <w:szCs w:val="24"/>
        </w:rPr>
        <w:t>or call (800) 870-6789</w:t>
      </w:r>
      <w:r w:rsidRPr="009D1601">
        <w:rPr>
          <w:rFonts w:asciiTheme="minorHAnsi" w:hAnsiTheme="minorHAnsi" w:cstheme="minorHAnsi"/>
          <w:b/>
          <w:sz w:val="24"/>
          <w:szCs w:val="24"/>
        </w:rPr>
        <w:t>.</w:t>
      </w:r>
    </w:p>
    <w:p w:rsidR="006A2869" w:rsidRPr="007E3652" w:rsidRDefault="006A2869" w:rsidP="006A2869">
      <w:pPr>
        <w:rPr>
          <w:rFonts w:asciiTheme="minorHAnsi" w:hAnsiTheme="minorHAnsi" w:cstheme="minorHAnsi"/>
          <w:b/>
        </w:rPr>
      </w:pPr>
    </w:p>
    <w:sectPr w:rsidR="006A2869" w:rsidRPr="007E3652">
      <w:type w:val="continuous"/>
      <w:pgSz w:w="12240" w:h="15840"/>
      <w:pgMar w:top="740" w:right="11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A04B1"/>
    <w:multiLevelType w:val="multilevel"/>
    <w:tmpl w:val="7184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9A"/>
    <w:rsid w:val="001054DC"/>
    <w:rsid w:val="001E6F39"/>
    <w:rsid w:val="002F5439"/>
    <w:rsid w:val="003B294D"/>
    <w:rsid w:val="00451D49"/>
    <w:rsid w:val="004D28DB"/>
    <w:rsid w:val="006A2869"/>
    <w:rsid w:val="007E3652"/>
    <w:rsid w:val="009535D9"/>
    <w:rsid w:val="009D1601"/>
    <w:rsid w:val="009E0519"/>
    <w:rsid w:val="00A50DD7"/>
    <w:rsid w:val="00B85199"/>
    <w:rsid w:val="00CF2A9A"/>
    <w:rsid w:val="00DA5BAF"/>
    <w:rsid w:val="00E37D12"/>
    <w:rsid w:val="00F1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1D8E"/>
  <w15:docId w15:val="{49B89B0B-96E8-47B1-A13C-D1FF88FC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link w:val="Heading3Char"/>
    <w:uiPriority w:val="9"/>
    <w:qFormat/>
    <w:rsid w:val="009E0519"/>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1"/>
      <w:ind w:left="445" w:right="683"/>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50DD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50DD7"/>
    <w:rPr>
      <w:b/>
      <w:bCs/>
    </w:rPr>
  </w:style>
  <w:style w:type="character" w:styleId="Hyperlink">
    <w:name w:val="Hyperlink"/>
    <w:basedOn w:val="DefaultParagraphFont"/>
    <w:uiPriority w:val="99"/>
    <w:unhideWhenUsed/>
    <w:rsid w:val="009535D9"/>
    <w:rPr>
      <w:color w:val="0000FF"/>
      <w:u w:val="single"/>
    </w:rPr>
  </w:style>
  <w:style w:type="character" w:customStyle="1" w:styleId="Heading3Char">
    <w:name w:val="Heading 3 Char"/>
    <w:basedOn w:val="DefaultParagraphFont"/>
    <w:link w:val="Heading3"/>
    <w:uiPriority w:val="9"/>
    <w:rsid w:val="009E0519"/>
    <w:rPr>
      <w:rFonts w:ascii="Times New Roman" w:eastAsia="Times New Roman" w:hAnsi="Times New Roman" w:cs="Times New Roman"/>
      <w:b/>
      <w:bCs/>
      <w:sz w:val="27"/>
      <w:szCs w:val="27"/>
    </w:rPr>
  </w:style>
  <w:style w:type="character" w:customStyle="1" w:styleId="relative">
    <w:name w:val="relative"/>
    <w:basedOn w:val="DefaultParagraphFont"/>
    <w:rsid w:val="009D1601"/>
  </w:style>
  <w:style w:type="character" w:customStyle="1" w:styleId="ms-1">
    <w:name w:val="ms-1"/>
    <w:basedOn w:val="DefaultParagraphFont"/>
    <w:rsid w:val="009D1601"/>
  </w:style>
  <w:style w:type="character" w:customStyle="1" w:styleId="max-w-full">
    <w:name w:val="max-w-full"/>
    <w:basedOn w:val="DefaultParagraphFont"/>
    <w:rsid w:val="009D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3696">
      <w:bodyDiv w:val="1"/>
      <w:marLeft w:val="0"/>
      <w:marRight w:val="0"/>
      <w:marTop w:val="0"/>
      <w:marBottom w:val="0"/>
      <w:divBdr>
        <w:top w:val="none" w:sz="0" w:space="0" w:color="auto"/>
        <w:left w:val="none" w:sz="0" w:space="0" w:color="auto"/>
        <w:bottom w:val="none" w:sz="0" w:space="0" w:color="auto"/>
        <w:right w:val="none" w:sz="0" w:space="0" w:color="auto"/>
      </w:divBdr>
    </w:div>
    <w:div w:id="1148666659">
      <w:bodyDiv w:val="1"/>
      <w:marLeft w:val="0"/>
      <w:marRight w:val="0"/>
      <w:marTop w:val="0"/>
      <w:marBottom w:val="0"/>
      <w:divBdr>
        <w:top w:val="none" w:sz="0" w:space="0" w:color="auto"/>
        <w:left w:val="none" w:sz="0" w:space="0" w:color="auto"/>
        <w:bottom w:val="none" w:sz="0" w:space="0" w:color="auto"/>
        <w:right w:val="none" w:sz="0" w:space="0" w:color="auto"/>
      </w:divBdr>
    </w:div>
    <w:div w:id="1289051855">
      <w:bodyDiv w:val="1"/>
      <w:marLeft w:val="0"/>
      <w:marRight w:val="0"/>
      <w:marTop w:val="0"/>
      <w:marBottom w:val="0"/>
      <w:divBdr>
        <w:top w:val="none" w:sz="0" w:space="0" w:color="auto"/>
        <w:left w:val="none" w:sz="0" w:space="0" w:color="auto"/>
        <w:bottom w:val="none" w:sz="0" w:space="0" w:color="auto"/>
        <w:right w:val="none" w:sz="0" w:space="0" w:color="auto"/>
      </w:divBdr>
    </w:div>
    <w:div w:id="1318262567">
      <w:bodyDiv w:val="1"/>
      <w:marLeft w:val="0"/>
      <w:marRight w:val="0"/>
      <w:marTop w:val="0"/>
      <w:marBottom w:val="0"/>
      <w:divBdr>
        <w:top w:val="none" w:sz="0" w:space="0" w:color="auto"/>
        <w:left w:val="none" w:sz="0" w:space="0" w:color="auto"/>
        <w:bottom w:val="none" w:sz="0" w:space="0" w:color="auto"/>
        <w:right w:val="none" w:sz="0" w:space="0" w:color="auto"/>
      </w:divBdr>
    </w:div>
    <w:div w:id="143964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er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ceainc.com/?utm_source=chatgpt.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PCI Hamden Blood Drive Press Release.docx</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Hamden Blood Drive Press Release.docx</dc:title>
  <dc:creator>Desiree Morris</dc:creator>
  <cp:lastModifiedBy>Desiree Morris</cp:lastModifiedBy>
  <cp:revision>4</cp:revision>
  <dcterms:created xsi:type="dcterms:W3CDTF">2025-08-22T14:42:00Z</dcterms:created>
  <dcterms:modified xsi:type="dcterms:W3CDTF">2025-08-26T18:12:00Z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m117 Google Docs Renderer</vt:lpwstr>
  </property>
</Properties>
</file>