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4D" w:rsidRDefault="00F135AB" w:rsidP="00D70921">
      <w:pPr>
        <w:pStyle w:val="BodyText"/>
        <w:ind w:left="4870"/>
        <w:rPr>
          <w:sz w:val="20"/>
        </w:rPr>
      </w:pPr>
      <w:r>
        <w:rPr>
          <w:noProof/>
          <w:sz w:val="20"/>
        </w:rPr>
        <w:drawing>
          <wp:inline distT="0" distB="0" distL="0" distR="0">
            <wp:extent cx="2873778" cy="6522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873778" cy="652272"/>
                    </a:xfrm>
                    <a:prstGeom prst="rect">
                      <a:avLst/>
                    </a:prstGeom>
                  </pic:spPr>
                </pic:pic>
              </a:graphicData>
            </a:graphic>
          </wp:inline>
        </w:drawing>
      </w:r>
    </w:p>
    <w:p w:rsidR="003B294D" w:rsidRDefault="003B294D">
      <w:pPr>
        <w:pStyle w:val="BodyText"/>
        <w:ind w:left="4870"/>
        <w:rPr>
          <w:sz w:val="20"/>
        </w:rPr>
      </w:pPr>
    </w:p>
    <w:p w:rsidR="00CF2A9A" w:rsidRDefault="00CF2A9A">
      <w:pPr>
        <w:pStyle w:val="BodyText"/>
        <w:spacing w:before="1"/>
        <w:rPr>
          <w:sz w:val="25"/>
        </w:rPr>
      </w:pPr>
    </w:p>
    <w:p w:rsidR="00CF2A9A" w:rsidRDefault="00F135AB">
      <w:pPr>
        <w:spacing w:before="89"/>
        <w:ind w:left="100"/>
        <w:rPr>
          <w:b/>
          <w:sz w:val="26"/>
        </w:rPr>
      </w:pPr>
      <w:r>
        <w:rPr>
          <w:b/>
          <w:sz w:val="26"/>
        </w:rPr>
        <w:t>For</w:t>
      </w:r>
      <w:r>
        <w:rPr>
          <w:b/>
          <w:spacing w:val="-6"/>
          <w:sz w:val="26"/>
        </w:rPr>
        <w:t xml:space="preserve"> </w:t>
      </w:r>
      <w:r>
        <w:rPr>
          <w:b/>
          <w:sz w:val="26"/>
        </w:rPr>
        <w:t>Immediate</w:t>
      </w:r>
      <w:r>
        <w:rPr>
          <w:b/>
          <w:spacing w:val="-6"/>
          <w:sz w:val="26"/>
        </w:rPr>
        <w:t xml:space="preserve"> </w:t>
      </w:r>
      <w:r>
        <w:rPr>
          <w:b/>
          <w:spacing w:val="-2"/>
          <w:sz w:val="26"/>
        </w:rPr>
        <w:t>Release:</w:t>
      </w:r>
    </w:p>
    <w:p w:rsidR="00CF2A9A" w:rsidRDefault="00CF2A9A">
      <w:pPr>
        <w:pStyle w:val="BodyText"/>
        <w:rPr>
          <w:b/>
          <w:sz w:val="24"/>
        </w:rPr>
      </w:pPr>
    </w:p>
    <w:p w:rsidR="00CF2A9A" w:rsidRDefault="00F135AB">
      <w:pPr>
        <w:ind w:left="100"/>
        <w:rPr>
          <w:b/>
          <w:sz w:val="24"/>
        </w:rPr>
      </w:pPr>
      <w:r>
        <w:rPr>
          <w:b/>
          <w:sz w:val="24"/>
        </w:rPr>
        <w:t xml:space="preserve">Contact: </w:t>
      </w:r>
      <w:r w:rsidR="00A50DD7">
        <w:rPr>
          <w:b/>
          <w:sz w:val="24"/>
        </w:rPr>
        <w:t>Desiree Morris</w:t>
      </w:r>
    </w:p>
    <w:p w:rsidR="00CF2A9A" w:rsidRDefault="00A50DD7">
      <w:pPr>
        <w:ind w:left="820" w:right="2281"/>
        <w:rPr>
          <w:b/>
          <w:sz w:val="24"/>
        </w:rPr>
      </w:pPr>
      <w:r>
        <w:rPr>
          <w:b/>
          <w:sz w:val="24"/>
        </w:rPr>
        <w:t>desiree.morris@yti.edu</w:t>
      </w:r>
    </w:p>
    <w:p w:rsidR="00CF2A9A" w:rsidRPr="00D70921" w:rsidRDefault="00A50DD7" w:rsidP="00D70921">
      <w:pPr>
        <w:ind w:left="820"/>
        <w:rPr>
          <w:b/>
          <w:sz w:val="24"/>
        </w:rPr>
      </w:pPr>
      <w:r>
        <w:rPr>
          <w:b/>
          <w:sz w:val="24"/>
        </w:rPr>
        <w:t>717.654.1793</w:t>
      </w:r>
    </w:p>
    <w:p w:rsidR="00532DE0" w:rsidRPr="00D70921" w:rsidRDefault="00532DE0" w:rsidP="00532DE0">
      <w:pPr>
        <w:widowControl/>
        <w:autoSpaceDE/>
        <w:autoSpaceDN/>
        <w:spacing w:before="100" w:beforeAutospacing="1" w:after="100" w:afterAutospacing="1"/>
        <w:rPr>
          <w:sz w:val="24"/>
          <w:szCs w:val="24"/>
        </w:rPr>
      </w:pPr>
      <w:r w:rsidRPr="00D70921">
        <w:rPr>
          <w:b/>
          <w:bCs/>
          <w:sz w:val="24"/>
          <w:szCs w:val="24"/>
        </w:rPr>
        <w:t>Porter and Chester Institute Achieves Top Rankings in National Postsecondary Education Report</w:t>
      </w:r>
    </w:p>
    <w:p w:rsidR="00072A27" w:rsidRPr="00D70921" w:rsidRDefault="00532DE0" w:rsidP="00072A27">
      <w:pPr>
        <w:spacing w:before="100" w:beforeAutospacing="1" w:after="100" w:afterAutospacing="1"/>
        <w:rPr>
          <w:rFonts w:asciiTheme="minorHAnsi" w:hAnsiTheme="minorHAnsi" w:cstheme="minorHAnsi"/>
          <w:sz w:val="24"/>
          <w:szCs w:val="24"/>
        </w:rPr>
      </w:pPr>
      <w:r>
        <w:rPr>
          <w:b/>
          <w:bCs/>
          <w:sz w:val="24"/>
          <w:szCs w:val="24"/>
        </w:rPr>
        <w:t>Hamden, CT April 14</w:t>
      </w:r>
      <w:r w:rsidRPr="00532DE0">
        <w:rPr>
          <w:b/>
          <w:bCs/>
          <w:sz w:val="24"/>
          <w:szCs w:val="24"/>
          <w:vertAlign w:val="superscript"/>
        </w:rPr>
        <w:t>th</w:t>
      </w:r>
      <w:r>
        <w:rPr>
          <w:b/>
          <w:bCs/>
          <w:sz w:val="24"/>
          <w:szCs w:val="24"/>
        </w:rPr>
        <w:t xml:space="preserve"> 2024</w:t>
      </w:r>
      <w:r w:rsidRPr="00532DE0">
        <w:rPr>
          <w:sz w:val="24"/>
          <w:szCs w:val="24"/>
        </w:rPr>
        <w:t xml:space="preserve">– </w:t>
      </w:r>
      <w:r w:rsidR="00072A27" w:rsidRPr="00D70921">
        <w:rPr>
          <w:rFonts w:asciiTheme="minorHAnsi" w:hAnsiTheme="minorHAnsi" w:cstheme="minorHAnsi"/>
          <w:sz w:val="24"/>
          <w:szCs w:val="24"/>
        </w:rPr>
        <w:t xml:space="preserve">Porter and Chester Institute (PCI) is proud to announce a remarkable achievement based on data compiled by Georgetown University’s Center on Education and the Workforce. </w:t>
      </w:r>
      <w:r w:rsidR="004D638A" w:rsidRPr="00D70921">
        <w:rPr>
          <w:rFonts w:asciiTheme="minorHAnsi" w:hAnsiTheme="minorHAnsi" w:cstheme="minorHAnsi"/>
          <w:color w:val="242424"/>
          <w:sz w:val="24"/>
          <w:szCs w:val="24"/>
          <w:shd w:val="clear" w:color="auto" w:fill="FFFFFF"/>
        </w:rPr>
        <w:t>O</w:t>
      </w:r>
      <w:r w:rsidR="004D638A" w:rsidRPr="00D70921">
        <w:rPr>
          <w:rFonts w:asciiTheme="minorHAnsi" w:hAnsiTheme="minorHAnsi" w:cstheme="minorHAnsi"/>
          <w:color w:val="242424"/>
          <w:sz w:val="24"/>
          <w:szCs w:val="24"/>
          <w:bdr w:val="none" w:sz="0" w:space="0" w:color="auto" w:frame="1"/>
          <w:shd w:val="clear" w:color="auto" w:fill="FFFFFF"/>
        </w:rPr>
        <w:t>ut of more than 4,400 post-secondary schools across the nation</w:t>
      </w:r>
      <w:r w:rsidR="00072A27" w:rsidRPr="00D70921">
        <w:rPr>
          <w:rFonts w:asciiTheme="minorHAnsi" w:hAnsiTheme="minorHAnsi" w:cstheme="minorHAnsi"/>
          <w:sz w:val="24"/>
          <w:szCs w:val="24"/>
        </w:rPr>
        <w:t>, Porter and Chester Institute and its Hamden campus have ranked exceptionally well for 10-year return on investment (ROI).</w:t>
      </w:r>
    </w:p>
    <w:p w:rsidR="00072A27" w:rsidRPr="00D70921" w:rsidRDefault="00072A27" w:rsidP="00072A27">
      <w:pPr>
        <w:widowControl/>
        <w:autoSpaceDE/>
        <w:autoSpaceDN/>
        <w:spacing w:before="100" w:beforeAutospacing="1" w:after="100" w:afterAutospacing="1"/>
        <w:rPr>
          <w:rFonts w:asciiTheme="minorHAnsi" w:hAnsiTheme="minorHAnsi" w:cstheme="minorHAnsi"/>
          <w:sz w:val="24"/>
          <w:szCs w:val="24"/>
        </w:rPr>
      </w:pPr>
      <w:r w:rsidRPr="00D70921">
        <w:rPr>
          <w:rFonts w:asciiTheme="minorHAnsi" w:hAnsiTheme="minorHAnsi" w:cstheme="minorHAnsi"/>
          <w:sz w:val="24"/>
          <w:szCs w:val="24"/>
        </w:rPr>
        <w:t xml:space="preserve">According to the report, </w:t>
      </w:r>
      <w:r w:rsidRPr="00D70921">
        <w:rPr>
          <w:rFonts w:asciiTheme="minorHAnsi" w:hAnsiTheme="minorHAnsi" w:cstheme="minorHAnsi"/>
          <w:bCs/>
          <w:sz w:val="24"/>
          <w:szCs w:val="24"/>
        </w:rPr>
        <w:t>Porter and Chester Institute Hamden campus ranks within the top 4%</w:t>
      </w:r>
      <w:r w:rsidRPr="00D70921">
        <w:rPr>
          <w:rFonts w:asciiTheme="minorHAnsi" w:hAnsiTheme="minorHAnsi" w:cstheme="minorHAnsi"/>
          <w:sz w:val="24"/>
          <w:szCs w:val="24"/>
        </w:rPr>
        <w:t xml:space="preserve">, and </w:t>
      </w:r>
      <w:r w:rsidRPr="00D70921">
        <w:rPr>
          <w:rFonts w:asciiTheme="minorHAnsi" w:hAnsiTheme="minorHAnsi" w:cstheme="minorHAnsi"/>
          <w:bCs/>
          <w:sz w:val="24"/>
          <w:szCs w:val="24"/>
        </w:rPr>
        <w:t>Porter and Chester Institute ranks within the top 6%</w:t>
      </w:r>
      <w:r w:rsidRPr="00D70921">
        <w:rPr>
          <w:rFonts w:asciiTheme="minorHAnsi" w:hAnsiTheme="minorHAnsi" w:cstheme="minorHAnsi"/>
          <w:sz w:val="24"/>
          <w:szCs w:val="24"/>
        </w:rPr>
        <w:t xml:space="preserve"> nationally for best 10-year ROI—a strong indicator of the long-term value students receive from a PCI education</w:t>
      </w:r>
    </w:p>
    <w:p w:rsidR="00532DE0" w:rsidRPr="00D70921" w:rsidRDefault="00532DE0" w:rsidP="00532DE0">
      <w:pPr>
        <w:widowControl/>
        <w:autoSpaceDE/>
        <w:autoSpaceDN/>
        <w:spacing w:before="100" w:beforeAutospacing="1" w:after="100" w:afterAutospacing="1"/>
        <w:rPr>
          <w:rFonts w:asciiTheme="minorHAnsi" w:hAnsiTheme="minorHAnsi" w:cstheme="minorHAnsi"/>
          <w:sz w:val="24"/>
          <w:szCs w:val="24"/>
        </w:rPr>
      </w:pPr>
      <w:r w:rsidRPr="00D70921">
        <w:rPr>
          <w:rFonts w:asciiTheme="minorHAnsi" w:hAnsiTheme="minorHAnsi" w:cstheme="minorHAnsi"/>
          <w:sz w:val="24"/>
          <w:szCs w:val="24"/>
        </w:rPr>
        <w:t>The rankings, compiled using extensive data from Georgetown University’s Center on Education and the Workforce, measure institutions by return on investment and career outcomes—providing students, families, and policymakers with crucial information on the value of education.</w:t>
      </w:r>
    </w:p>
    <w:p w:rsidR="00532DE0" w:rsidRPr="00D70921" w:rsidRDefault="00532DE0" w:rsidP="00532DE0">
      <w:pPr>
        <w:widowControl/>
        <w:autoSpaceDE/>
        <w:autoSpaceDN/>
        <w:spacing w:before="100" w:beforeAutospacing="1" w:after="100" w:afterAutospacing="1"/>
        <w:rPr>
          <w:rFonts w:asciiTheme="minorHAnsi" w:hAnsiTheme="minorHAnsi" w:cstheme="minorHAnsi"/>
          <w:sz w:val="24"/>
          <w:szCs w:val="24"/>
        </w:rPr>
      </w:pPr>
      <w:r w:rsidRPr="00D70921">
        <w:rPr>
          <w:rFonts w:asciiTheme="minorHAnsi" w:hAnsiTheme="minorHAnsi" w:cstheme="minorHAnsi"/>
          <w:sz w:val="24"/>
          <w:szCs w:val="24"/>
        </w:rPr>
        <w:t>P</w:t>
      </w:r>
      <w:r w:rsidR="00CD23F6" w:rsidRPr="00D70921">
        <w:rPr>
          <w:rFonts w:asciiTheme="minorHAnsi" w:hAnsiTheme="minorHAnsi" w:cstheme="minorHAnsi"/>
          <w:sz w:val="24"/>
          <w:szCs w:val="24"/>
        </w:rPr>
        <w:t xml:space="preserve">orter and Chester Institute </w:t>
      </w:r>
      <w:r w:rsidRPr="00D70921">
        <w:rPr>
          <w:rFonts w:asciiTheme="minorHAnsi" w:hAnsiTheme="minorHAnsi" w:cstheme="minorHAnsi"/>
          <w:sz w:val="24"/>
          <w:szCs w:val="24"/>
        </w:rPr>
        <w:t>Hamden</w:t>
      </w:r>
      <w:r w:rsidR="00CD23F6" w:rsidRPr="00D70921">
        <w:rPr>
          <w:rFonts w:asciiTheme="minorHAnsi" w:hAnsiTheme="minorHAnsi" w:cstheme="minorHAnsi"/>
          <w:sz w:val="24"/>
          <w:szCs w:val="24"/>
        </w:rPr>
        <w:t xml:space="preserve"> campus</w:t>
      </w:r>
      <w:r w:rsidRPr="00D70921">
        <w:rPr>
          <w:rFonts w:asciiTheme="minorHAnsi" w:hAnsiTheme="minorHAnsi" w:cstheme="minorHAnsi"/>
          <w:sz w:val="24"/>
          <w:szCs w:val="24"/>
        </w:rPr>
        <w:t xml:space="preserve"> performed exceptionally well in the report, further validating the Institute’s mission of providing hands-on, career-focused education that leads to strong employment opportunities and long-term success for its graduates.</w:t>
      </w:r>
    </w:p>
    <w:p w:rsidR="00532DE0" w:rsidRPr="00D70921" w:rsidRDefault="00532DE0" w:rsidP="00532DE0">
      <w:pPr>
        <w:widowControl/>
        <w:autoSpaceDE/>
        <w:autoSpaceDN/>
        <w:spacing w:before="100" w:beforeAutospacing="1" w:after="100" w:afterAutospacing="1"/>
        <w:rPr>
          <w:rFonts w:asciiTheme="minorHAnsi" w:hAnsiTheme="minorHAnsi" w:cstheme="minorHAnsi"/>
          <w:sz w:val="24"/>
          <w:szCs w:val="24"/>
        </w:rPr>
      </w:pPr>
      <w:r w:rsidRPr="00D70921">
        <w:rPr>
          <w:rFonts w:asciiTheme="minorHAnsi" w:hAnsiTheme="minorHAnsi" w:cstheme="minorHAnsi"/>
          <w:sz w:val="24"/>
          <w:szCs w:val="24"/>
          <w:highlight w:val="cyan"/>
        </w:rPr>
        <w:t>“This recognition is a testament to the work our faculty and staff put in every day to ensure student success</w:t>
      </w:r>
      <w:r w:rsidR="00D94C55" w:rsidRPr="00D70921">
        <w:rPr>
          <w:rFonts w:asciiTheme="minorHAnsi" w:hAnsiTheme="minorHAnsi" w:cstheme="minorHAnsi"/>
          <w:sz w:val="24"/>
          <w:szCs w:val="24"/>
          <w:highlight w:val="cyan"/>
        </w:rPr>
        <w:t xml:space="preserve"> in providing key workforce education and training</w:t>
      </w:r>
      <w:r w:rsidRPr="00D70921">
        <w:rPr>
          <w:rFonts w:asciiTheme="minorHAnsi" w:hAnsiTheme="minorHAnsi" w:cstheme="minorHAnsi"/>
          <w:sz w:val="24"/>
          <w:szCs w:val="24"/>
          <w:highlight w:val="cyan"/>
        </w:rPr>
        <w:t>,” said Jim Bologa, CEO. “We’re thrilled to see P</w:t>
      </w:r>
      <w:r w:rsidR="00CD23F6" w:rsidRPr="00D70921">
        <w:rPr>
          <w:rFonts w:asciiTheme="minorHAnsi" w:hAnsiTheme="minorHAnsi" w:cstheme="minorHAnsi"/>
          <w:sz w:val="24"/>
          <w:szCs w:val="24"/>
          <w:highlight w:val="cyan"/>
        </w:rPr>
        <w:t>orter and Chester Institute</w:t>
      </w:r>
      <w:r w:rsidRPr="00D70921">
        <w:rPr>
          <w:rFonts w:asciiTheme="minorHAnsi" w:hAnsiTheme="minorHAnsi" w:cstheme="minorHAnsi"/>
          <w:sz w:val="24"/>
          <w:szCs w:val="24"/>
          <w:highlight w:val="cyan"/>
        </w:rPr>
        <w:t xml:space="preserve"> </w:t>
      </w:r>
      <w:r w:rsidR="00D94C55" w:rsidRPr="00D70921">
        <w:rPr>
          <w:rFonts w:asciiTheme="minorHAnsi" w:hAnsiTheme="minorHAnsi" w:cstheme="minorHAnsi"/>
          <w:sz w:val="24"/>
          <w:szCs w:val="24"/>
          <w:highlight w:val="cyan"/>
        </w:rPr>
        <w:t xml:space="preserve">and Porter and Chester Institute’s Hamden </w:t>
      </w:r>
      <w:r w:rsidR="004D638A" w:rsidRPr="00D70921">
        <w:rPr>
          <w:rFonts w:asciiTheme="minorHAnsi" w:hAnsiTheme="minorHAnsi" w:cstheme="minorHAnsi"/>
          <w:sz w:val="24"/>
          <w:szCs w:val="24"/>
          <w:highlight w:val="cyan"/>
        </w:rPr>
        <w:t>ranked so highly among over 4,4</w:t>
      </w:r>
      <w:r w:rsidRPr="00D70921">
        <w:rPr>
          <w:rFonts w:asciiTheme="minorHAnsi" w:hAnsiTheme="minorHAnsi" w:cstheme="minorHAnsi"/>
          <w:sz w:val="24"/>
          <w:szCs w:val="24"/>
          <w:highlight w:val="cyan"/>
        </w:rPr>
        <w:t>00 institutions</w:t>
      </w:r>
      <w:r w:rsidR="00D94C55" w:rsidRPr="00D70921">
        <w:rPr>
          <w:rFonts w:asciiTheme="minorHAnsi" w:hAnsiTheme="minorHAnsi" w:cstheme="minorHAnsi"/>
          <w:sz w:val="24"/>
          <w:szCs w:val="24"/>
          <w:highlight w:val="cyan"/>
        </w:rPr>
        <w:t xml:space="preserve">, particularly being in the top 10% of schools providing the highest return on investment over a </w:t>
      </w:r>
      <w:proofErr w:type="gramStart"/>
      <w:r w:rsidR="00D94C55" w:rsidRPr="00D70921">
        <w:rPr>
          <w:rFonts w:asciiTheme="minorHAnsi" w:hAnsiTheme="minorHAnsi" w:cstheme="minorHAnsi"/>
          <w:sz w:val="24"/>
          <w:szCs w:val="24"/>
          <w:highlight w:val="cyan"/>
        </w:rPr>
        <w:t>10 year</w:t>
      </w:r>
      <w:proofErr w:type="gramEnd"/>
      <w:r w:rsidR="00D94C55" w:rsidRPr="00D70921">
        <w:rPr>
          <w:rFonts w:asciiTheme="minorHAnsi" w:hAnsiTheme="minorHAnsi" w:cstheme="minorHAnsi"/>
          <w:sz w:val="24"/>
          <w:szCs w:val="24"/>
          <w:highlight w:val="cyan"/>
        </w:rPr>
        <w:t xml:space="preserve"> period</w:t>
      </w:r>
      <w:r w:rsidR="00D94C55" w:rsidRPr="00D70921">
        <w:rPr>
          <w:rFonts w:asciiTheme="minorHAnsi" w:hAnsiTheme="minorHAnsi" w:cstheme="minorHAnsi"/>
          <w:sz w:val="24"/>
          <w:szCs w:val="24"/>
        </w:rPr>
        <w:t>.</w:t>
      </w:r>
    </w:p>
    <w:p w:rsidR="00532DE0" w:rsidRPr="00D70921" w:rsidRDefault="00532DE0" w:rsidP="00532DE0">
      <w:pPr>
        <w:widowControl/>
        <w:autoSpaceDE/>
        <w:autoSpaceDN/>
        <w:spacing w:before="100" w:beforeAutospacing="1" w:after="100" w:afterAutospacing="1"/>
        <w:rPr>
          <w:rFonts w:asciiTheme="minorHAnsi" w:hAnsiTheme="minorHAnsi" w:cstheme="minorHAnsi"/>
          <w:sz w:val="24"/>
          <w:szCs w:val="24"/>
        </w:rPr>
      </w:pPr>
      <w:r w:rsidRPr="00D70921">
        <w:rPr>
          <w:rFonts w:asciiTheme="minorHAnsi" w:hAnsiTheme="minorHAnsi" w:cstheme="minorHAnsi"/>
          <w:sz w:val="24"/>
          <w:szCs w:val="24"/>
        </w:rPr>
        <w:t>The full data set—attached for reference—illustrates how P</w:t>
      </w:r>
      <w:r w:rsidR="00CD23F6" w:rsidRPr="00D70921">
        <w:rPr>
          <w:rFonts w:asciiTheme="minorHAnsi" w:hAnsiTheme="minorHAnsi" w:cstheme="minorHAnsi"/>
          <w:sz w:val="24"/>
          <w:szCs w:val="24"/>
        </w:rPr>
        <w:t>orter and Chester Institute</w:t>
      </w:r>
      <w:r w:rsidRPr="00D70921">
        <w:rPr>
          <w:rFonts w:asciiTheme="minorHAnsi" w:hAnsiTheme="minorHAnsi" w:cstheme="minorHAnsi"/>
          <w:sz w:val="24"/>
          <w:szCs w:val="24"/>
        </w:rPr>
        <w:t xml:space="preserve"> compares favorably with many local and national competitors in terms of value and student outcomes.</w:t>
      </w:r>
    </w:p>
    <w:p w:rsidR="00532DE0" w:rsidRPr="00D70921" w:rsidRDefault="00532DE0" w:rsidP="00532DE0">
      <w:pPr>
        <w:widowControl/>
        <w:autoSpaceDE/>
        <w:autoSpaceDN/>
        <w:spacing w:before="100" w:beforeAutospacing="1" w:after="100" w:afterAutospacing="1"/>
        <w:rPr>
          <w:rFonts w:asciiTheme="minorHAnsi" w:hAnsiTheme="minorHAnsi" w:cstheme="minorHAnsi"/>
          <w:sz w:val="24"/>
          <w:szCs w:val="24"/>
        </w:rPr>
      </w:pPr>
      <w:r w:rsidRPr="00D70921">
        <w:rPr>
          <w:rFonts w:asciiTheme="minorHAnsi" w:hAnsiTheme="minorHAnsi" w:cstheme="minorHAnsi"/>
          <w:sz w:val="24"/>
          <w:szCs w:val="24"/>
        </w:rPr>
        <w:t xml:space="preserve">These rankings will be a key component in </w:t>
      </w:r>
      <w:r w:rsidR="00CD23F6" w:rsidRPr="00D70921">
        <w:rPr>
          <w:rFonts w:asciiTheme="minorHAnsi" w:hAnsiTheme="minorHAnsi" w:cstheme="minorHAnsi"/>
          <w:sz w:val="24"/>
          <w:szCs w:val="24"/>
        </w:rPr>
        <w:t>Porter and Chester Institute</w:t>
      </w:r>
      <w:r w:rsidRPr="00D70921">
        <w:rPr>
          <w:rFonts w:asciiTheme="minorHAnsi" w:hAnsiTheme="minorHAnsi" w:cstheme="minorHAnsi"/>
          <w:sz w:val="24"/>
          <w:szCs w:val="24"/>
        </w:rPr>
        <w:t xml:space="preserve"> ongoing </w:t>
      </w:r>
      <w:r w:rsidR="00D94C55" w:rsidRPr="00D70921">
        <w:rPr>
          <w:rFonts w:asciiTheme="minorHAnsi" w:hAnsiTheme="minorHAnsi" w:cstheme="minorHAnsi"/>
          <w:sz w:val="24"/>
          <w:szCs w:val="24"/>
        </w:rPr>
        <w:t xml:space="preserve">prospective student awareness campaign </w:t>
      </w:r>
      <w:r w:rsidRPr="00D70921">
        <w:rPr>
          <w:rFonts w:asciiTheme="minorHAnsi" w:hAnsiTheme="minorHAnsi" w:cstheme="minorHAnsi"/>
          <w:sz w:val="24"/>
          <w:szCs w:val="24"/>
        </w:rPr>
        <w:t>efforts, reinforcing our commitment to excellence in career training and student support.</w:t>
      </w:r>
    </w:p>
    <w:p w:rsidR="006A2869" w:rsidRPr="006A2869" w:rsidRDefault="006A2869" w:rsidP="00532DE0">
      <w:pPr>
        <w:pStyle w:val="NormalWeb"/>
        <w:rPr>
          <w:rFonts w:asciiTheme="minorHAnsi" w:hAnsiTheme="minorHAnsi" w:cstheme="minorHAnsi"/>
          <w:b/>
        </w:rPr>
      </w:pPr>
      <w:r w:rsidRPr="006A2869">
        <w:rPr>
          <w:rFonts w:asciiTheme="minorHAnsi" w:hAnsiTheme="minorHAnsi" w:cstheme="minorHAnsi"/>
          <w:b/>
        </w:rPr>
        <w:t>About</w:t>
      </w:r>
      <w:r w:rsidRPr="006A2869">
        <w:rPr>
          <w:rFonts w:asciiTheme="minorHAnsi" w:hAnsiTheme="minorHAnsi" w:cstheme="minorHAnsi"/>
          <w:b/>
          <w:spacing w:val="-5"/>
        </w:rPr>
        <w:t xml:space="preserve"> </w:t>
      </w:r>
      <w:r w:rsidRPr="006A2869">
        <w:rPr>
          <w:rFonts w:asciiTheme="minorHAnsi" w:hAnsiTheme="minorHAnsi" w:cstheme="minorHAnsi"/>
          <w:b/>
        </w:rPr>
        <w:t>Porter</w:t>
      </w:r>
      <w:r w:rsidRPr="006A2869">
        <w:rPr>
          <w:rFonts w:asciiTheme="minorHAnsi" w:hAnsiTheme="minorHAnsi" w:cstheme="minorHAnsi"/>
          <w:b/>
          <w:spacing w:val="-5"/>
        </w:rPr>
        <w:t xml:space="preserve"> </w:t>
      </w:r>
      <w:r w:rsidRPr="006A2869">
        <w:rPr>
          <w:rFonts w:asciiTheme="minorHAnsi" w:hAnsiTheme="minorHAnsi" w:cstheme="minorHAnsi"/>
          <w:b/>
        </w:rPr>
        <w:t>and</w:t>
      </w:r>
      <w:r w:rsidRPr="006A2869">
        <w:rPr>
          <w:rFonts w:asciiTheme="minorHAnsi" w:hAnsiTheme="minorHAnsi" w:cstheme="minorHAnsi"/>
          <w:b/>
          <w:spacing w:val="-5"/>
        </w:rPr>
        <w:t xml:space="preserve"> </w:t>
      </w:r>
      <w:r w:rsidRPr="006A2869">
        <w:rPr>
          <w:rFonts w:asciiTheme="minorHAnsi" w:hAnsiTheme="minorHAnsi" w:cstheme="minorHAnsi"/>
          <w:b/>
        </w:rPr>
        <w:t>Chester</w:t>
      </w:r>
      <w:r w:rsidRPr="006A2869">
        <w:rPr>
          <w:rFonts w:asciiTheme="minorHAnsi" w:hAnsiTheme="minorHAnsi" w:cstheme="minorHAnsi"/>
          <w:b/>
          <w:spacing w:val="-5"/>
        </w:rPr>
        <w:t xml:space="preserve"> </w:t>
      </w:r>
      <w:r w:rsidRPr="006A2869">
        <w:rPr>
          <w:rFonts w:asciiTheme="minorHAnsi" w:hAnsiTheme="minorHAnsi" w:cstheme="minorHAnsi"/>
          <w:b/>
        </w:rPr>
        <w:t>Institute:</w:t>
      </w:r>
      <w:r w:rsidRPr="006A2869">
        <w:rPr>
          <w:rFonts w:asciiTheme="minorHAnsi" w:hAnsiTheme="minorHAnsi" w:cstheme="minorHAnsi"/>
          <w:b/>
          <w:spacing w:val="-5"/>
        </w:rPr>
        <w:t xml:space="preserve"> </w:t>
      </w:r>
      <w:r w:rsidRPr="00D70921">
        <w:rPr>
          <w:rFonts w:asciiTheme="minorHAnsi" w:hAnsiTheme="minorHAnsi" w:cstheme="minorHAnsi"/>
          <w:sz w:val="22"/>
          <w:szCs w:val="22"/>
        </w:rPr>
        <w:t>Porter</w:t>
      </w:r>
      <w:r w:rsidRPr="00D70921">
        <w:rPr>
          <w:rFonts w:asciiTheme="minorHAnsi" w:hAnsiTheme="minorHAnsi" w:cstheme="minorHAnsi"/>
          <w:spacing w:val="-5"/>
          <w:sz w:val="22"/>
          <w:szCs w:val="22"/>
        </w:rPr>
        <w:t xml:space="preserve"> </w:t>
      </w:r>
      <w:r w:rsidRPr="00D70921">
        <w:rPr>
          <w:rFonts w:asciiTheme="minorHAnsi" w:hAnsiTheme="minorHAnsi" w:cstheme="minorHAnsi"/>
          <w:sz w:val="22"/>
          <w:szCs w:val="22"/>
        </w:rPr>
        <w:t>and</w:t>
      </w:r>
      <w:r w:rsidRPr="00D70921">
        <w:rPr>
          <w:rFonts w:asciiTheme="minorHAnsi" w:hAnsiTheme="minorHAnsi" w:cstheme="minorHAnsi"/>
          <w:spacing w:val="-5"/>
          <w:sz w:val="22"/>
          <w:szCs w:val="22"/>
        </w:rPr>
        <w:t xml:space="preserve"> </w:t>
      </w:r>
      <w:r w:rsidRPr="00D70921">
        <w:rPr>
          <w:rFonts w:asciiTheme="minorHAnsi" w:hAnsiTheme="minorHAnsi" w:cstheme="minorHAnsi"/>
          <w:sz w:val="22"/>
          <w:szCs w:val="22"/>
        </w:rPr>
        <w:t>Chester</w:t>
      </w:r>
      <w:r w:rsidRPr="00D70921">
        <w:rPr>
          <w:rFonts w:asciiTheme="minorHAnsi" w:hAnsiTheme="minorHAnsi" w:cstheme="minorHAnsi"/>
          <w:spacing w:val="-5"/>
          <w:sz w:val="22"/>
          <w:szCs w:val="22"/>
        </w:rPr>
        <w:t xml:space="preserve"> </w:t>
      </w:r>
      <w:r w:rsidRPr="00D70921">
        <w:rPr>
          <w:rFonts w:asciiTheme="minorHAnsi" w:hAnsiTheme="minorHAnsi" w:cstheme="minorHAnsi"/>
          <w:sz w:val="22"/>
          <w:szCs w:val="22"/>
        </w:rPr>
        <w:t>Institute</w:t>
      </w:r>
      <w:r w:rsidRPr="00D70921">
        <w:rPr>
          <w:rFonts w:asciiTheme="minorHAnsi" w:hAnsiTheme="minorHAnsi" w:cstheme="minorHAnsi"/>
          <w:spacing w:val="-5"/>
          <w:sz w:val="22"/>
          <w:szCs w:val="22"/>
        </w:rPr>
        <w:t xml:space="preserve"> </w:t>
      </w:r>
      <w:r w:rsidRPr="00D70921">
        <w:rPr>
          <w:rFonts w:asciiTheme="minorHAnsi" w:hAnsiTheme="minorHAnsi" w:cstheme="minorHAnsi"/>
          <w:sz w:val="22"/>
          <w:szCs w:val="22"/>
        </w:rPr>
        <w:t>(PCI),</w:t>
      </w:r>
      <w:r w:rsidRPr="00D70921">
        <w:rPr>
          <w:rFonts w:asciiTheme="minorHAnsi" w:hAnsiTheme="minorHAnsi" w:cstheme="minorHAnsi"/>
          <w:spacing w:val="-5"/>
          <w:sz w:val="22"/>
          <w:szCs w:val="22"/>
        </w:rPr>
        <w:t xml:space="preserve"> </w:t>
      </w:r>
      <w:r w:rsidRPr="00D70921">
        <w:rPr>
          <w:rFonts w:asciiTheme="minorHAnsi" w:hAnsiTheme="minorHAnsi" w:cstheme="minorHAnsi"/>
          <w:sz w:val="22"/>
          <w:szCs w:val="22"/>
        </w:rPr>
        <w:t>a</w:t>
      </w:r>
      <w:r w:rsidRPr="00D70921">
        <w:rPr>
          <w:rFonts w:asciiTheme="minorHAnsi" w:hAnsiTheme="minorHAnsi" w:cstheme="minorHAnsi"/>
          <w:spacing w:val="-5"/>
          <w:sz w:val="22"/>
          <w:szCs w:val="22"/>
        </w:rPr>
        <w:t xml:space="preserve"> </w:t>
      </w:r>
      <w:r w:rsidRPr="00D70921">
        <w:rPr>
          <w:rFonts w:asciiTheme="minorHAnsi" w:hAnsiTheme="minorHAnsi" w:cstheme="minorHAnsi"/>
          <w:sz w:val="22"/>
          <w:szCs w:val="22"/>
        </w:rPr>
        <w:t>private, post-secondary technical institution with seven campuses throughout Connecticut and Massachusetts, featuring twelve</w:t>
      </w:r>
      <w:r w:rsidRPr="00D70921">
        <w:rPr>
          <w:rFonts w:asciiTheme="minorHAnsi" w:hAnsiTheme="minorHAnsi" w:cstheme="minorHAnsi"/>
          <w:spacing w:val="40"/>
          <w:sz w:val="22"/>
          <w:szCs w:val="22"/>
        </w:rPr>
        <w:t xml:space="preserve"> </w:t>
      </w:r>
      <w:r w:rsidRPr="00D70921">
        <w:rPr>
          <w:rFonts w:asciiTheme="minorHAnsi" w:hAnsiTheme="minorHAnsi" w:cstheme="minorHAnsi"/>
          <w:sz w:val="22"/>
          <w:szCs w:val="22"/>
        </w:rPr>
        <w:t>different career programs, supports committed students in</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achieving</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the</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technical</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and</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professional</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skills</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essential</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for</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their</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chosen</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career</w:t>
      </w:r>
      <w:r w:rsidRPr="00D70921">
        <w:rPr>
          <w:rFonts w:asciiTheme="minorHAnsi" w:hAnsiTheme="minorHAnsi" w:cstheme="minorHAnsi"/>
          <w:spacing w:val="-1"/>
          <w:sz w:val="22"/>
          <w:szCs w:val="22"/>
        </w:rPr>
        <w:t xml:space="preserve"> </w:t>
      </w:r>
      <w:r w:rsidRPr="00D70921">
        <w:rPr>
          <w:rFonts w:asciiTheme="minorHAnsi" w:hAnsiTheme="minorHAnsi" w:cstheme="minorHAnsi"/>
          <w:sz w:val="22"/>
          <w:szCs w:val="22"/>
        </w:rPr>
        <w:t>through industry-</w:t>
      </w:r>
      <w:r w:rsidRPr="00D70921">
        <w:rPr>
          <w:rFonts w:asciiTheme="minorHAnsi" w:hAnsiTheme="minorHAnsi" w:cstheme="minorHAnsi"/>
          <w:spacing w:val="-3"/>
          <w:sz w:val="22"/>
          <w:szCs w:val="22"/>
        </w:rPr>
        <w:t xml:space="preserve"> </w:t>
      </w:r>
      <w:r w:rsidRPr="00D70921">
        <w:rPr>
          <w:rFonts w:asciiTheme="minorHAnsi" w:hAnsiTheme="minorHAnsi" w:cstheme="minorHAnsi"/>
          <w:sz w:val="22"/>
          <w:szCs w:val="22"/>
        </w:rPr>
        <w:t>modeled</w:t>
      </w:r>
      <w:bookmarkStart w:id="0" w:name="_GoBack"/>
      <w:bookmarkEnd w:id="0"/>
      <w:r w:rsidRPr="00D70921">
        <w:rPr>
          <w:rFonts w:asciiTheme="minorHAnsi" w:hAnsiTheme="minorHAnsi" w:cstheme="minorHAnsi"/>
          <w:sz w:val="22"/>
          <w:szCs w:val="22"/>
        </w:rPr>
        <w:t>,</w:t>
      </w:r>
      <w:r w:rsidRPr="00D70921">
        <w:rPr>
          <w:rFonts w:asciiTheme="minorHAnsi" w:hAnsiTheme="minorHAnsi" w:cstheme="minorHAnsi"/>
          <w:spacing w:val="-3"/>
          <w:sz w:val="22"/>
          <w:szCs w:val="22"/>
        </w:rPr>
        <w:t xml:space="preserve"> </w:t>
      </w:r>
      <w:r w:rsidRPr="00D70921">
        <w:rPr>
          <w:rFonts w:asciiTheme="minorHAnsi" w:hAnsiTheme="minorHAnsi" w:cstheme="minorHAnsi"/>
          <w:sz w:val="22"/>
          <w:szCs w:val="22"/>
        </w:rPr>
        <w:t>student-centered</w:t>
      </w:r>
      <w:r w:rsidRPr="00D70921">
        <w:rPr>
          <w:rFonts w:asciiTheme="minorHAnsi" w:hAnsiTheme="minorHAnsi" w:cstheme="minorHAnsi"/>
          <w:spacing w:val="-3"/>
          <w:sz w:val="22"/>
          <w:szCs w:val="22"/>
        </w:rPr>
        <w:t xml:space="preserve"> </w:t>
      </w:r>
      <w:r w:rsidRPr="00D70921">
        <w:rPr>
          <w:rFonts w:asciiTheme="minorHAnsi" w:hAnsiTheme="minorHAnsi" w:cstheme="minorHAnsi"/>
          <w:sz w:val="22"/>
          <w:szCs w:val="22"/>
        </w:rPr>
        <w:t>education</w:t>
      </w:r>
      <w:r w:rsidRPr="00D70921">
        <w:rPr>
          <w:rFonts w:asciiTheme="minorHAnsi" w:hAnsiTheme="minorHAnsi" w:cstheme="minorHAnsi"/>
          <w:spacing w:val="-3"/>
          <w:sz w:val="22"/>
          <w:szCs w:val="22"/>
        </w:rPr>
        <w:t xml:space="preserve"> </w:t>
      </w:r>
      <w:r w:rsidRPr="00D70921">
        <w:rPr>
          <w:rFonts w:asciiTheme="minorHAnsi" w:hAnsiTheme="minorHAnsi" w:cstheme="minorHAnsi"/>
          <w:sz w:val="22"/>
          <w:szCs w:val="22"/>
        </w:rPr>
        <w:t>and</w:t>
      </w:r>
      <w:r w:rsidRPr="00D70921">
        <w:rPr>
          <w:rFonts w:asciiTheme="minorHAnsi" w:hAnsiTheme="minorHAnsi" w:cstheme="minorHAnsi"/>
          <w:spacing w:val="-3"/>
          <w:sz w:val="22"/>
          <w:szCs w:val="22"/>
        </w:rPr>
        <w:t xml:space="preserve"> </w:t>
      </w:r>
      <w:r w:rsidRPr="00D70921">
        <w:rPr>
          <w:rFonts w:asciiTheme="minorHAnsi" w:hAnsiTheme="minorHAnsi" w:cstheme="minorHAnsi"/>
          <w:sz w:val="22"/>
          <w:szCs w:val="22"/>
        </w:rPr>
        <w:t>training.</w:t>
      </w:r>
      <w:r w:rsidRPr="00D70921">
        <w:rPr>
          <w:rFonts w:asciiTheme="minorHAnsi" w:hAnsiTheme="minorHAnsi" w:cstheme="minorHAnsi"/>
          <w:spacing w:val="-3"/>
          <w:sz w:val="22"/>
          <w:szCs w:val="22"/>
        </w:rPr>
        <w:t xml:space="preserve"> </w:t>
      </w:r>
      <w:r w:rsidRPr="00D70921">
        <w:rPr>
          <w:rFonts w:asciiTheme="minorHAnsi" w:hAnsiTheme="minorHAnsi" w:cstheme="minorHAnsi"/>
          <w:sz w:val="22"/>
          <w:szCs w:val="22"/>
        </w:rPr>
        <w:t>For</w:t>
      </w:r>
      <w:r w:rsidRPr="00D70921">
        <w:rPr>
          <w:rFonts w:asciiTheme="minorHAnsi" w:hAnsiTheme="minorHAnsi" w:cstheme="minorHAnsi"/>
          <w:spacing w:val="-3"/>
          <w:sz w:val="22"/>
          <w:szCs w:val="22"/>
        </w:rPr>
        <w:t xml:space="preserve"> </w:t>
      </w:r>
      <w:r w:rsidRPr="00D70921">
        <w:rPr>
          <w:rFonts w:asciiTheme="minorHAnsi" w:hAnsiTheme="minorHAnsi" w:cstheme="minorHAnsi"/>
          <w:sz w:val="22"/>
          <w:szCs w:val="22"/>
        </w:rPr>
        <w:t>more</w:t>
      </w:r>
      <w:r w:rsidRPr="00D70921">
        <w:rPr>
          <w:rFonts w:asciiTheme="minorHAnsi" w:hAnsiTheme="minorHAnsi" w:cstheme="minorHAnsi"/>
          <w:spacing w:val="-3"/>
          <w:sz w:val="22"/>
          <w:szCs w:val="22"/>
        </w:rPr>
        <w:t xml:space="preserve"> </w:t>
      </w:r>
      <w:r w:rsidRPr="00D70921">
        <w:rPr>
          <w:rFonts w:asciiTheme="minorHAnsi" w:hAnsiTheme="minorHAnsi" w:cstheme="minorHAnsi"/>
          <w:sz w:val="22"/>
          <w:szCs w:val="22"/>
        </w:rPr>
        <w:t>information,</w:t>
      </w:r>
      <w:r w:rsidRPr="00D70921">
        <w:rPr>
          <w:rFonts w:asciiTheme="minorHAnsi" w:hAnsiTheme="minorHAnsi" w:cstheme="minorHAnsi"/>
          <w:spacing w:val="-3"/>
          <w:sz w:val="22"/>
          <w:szCs w:val="22"/>
        </w:rPr>
        <w:t xml:space="preserve"> </w:t>
      </w:r>
      <w:r w:rsidRPr="00D70921">
        <w:rPr>
          <w:rFonts w:asciiTheme="minorHAnsi" w:hAnsiTheme="minorHAnsi" w:cstheme="minorHAnsi"/>
          <w:sz w:val="22"/>
          <w:szCs w:val="22"/>
        </w:rPr>
        <w:t xml:space="preserve">please visit PCI at </w:t>
      </w:r>
      <w:hyperlink r:id="rId5">
        <w:r w:rsidRPr="00D70921">
          <w:rPr>
            <w:rFonts w:asciiTheme="minorHAnsi" w:hAnsiTheme="minorHAnsi" w:cstheme="minorHAnsi"/>
            <w:color w:val="1154CC"/>
            <w:sz w:val="22"/>
            <w:szCs w:val="22"/>
          </w:rPr>
          <w:t>www.PorterChester.edu</w:t>
        </w:r>
      </w:hyperlink>
      <w:r w:rsidRPr="00D70921">
        <w:rPr>
          <w:rFonts w:asciiTheme="minorHAnsi" w:hAnsiTheme="minorHAnsi" w:cstheme="minorHAnsi"/>
          <w:color w:val="1154CC"/>
          <w:sz w:val="22"/>
          <w:szCs w:val="22"/>
        </w:rPr>
        <w:t xml:space="preserve"> </w:t>
      </w:r>
      <w:r w:rsidRPr="00D70921">
        <w:rPr>
          <w:rFonts w:asciiTheme="minorHAnsi" w:hAnsiTheme="minorHAnsi" w:cstheme="minorHAnsi"/>
          <w:sz w:val="22"/>
          <w:szCs w:val="22"/>
        </w:rPr>
        <w:t>or call (800) 870-6789</w:t>
      </w:r>
      <w:r w:rsidRPr="00D70921">
        <w:rPr>
          <w:rFonts w:asciiTheme="minorHAnsi" w:hAnsiTheme="minorHAnsi" w:cstheme="minorHAnsi"/>
          <w:b/>
          <w:sz w:val="22"/>
          <w:szCs w:val="22"/>
        </w:rPr>
        <w:t>.</w:t>
      </w:r>
    </w:p>
    <w:p w:rsidR="006A2869" w:rsidRPr="006A2869" w:rsidRDefault="006A2869" w:rsidP="006A2869">
      <w:pPr>
        <w:rPr>
          <w:rFonts w:asciiTheme="minorHAnsi" w:hAnsiTheme="minorHAnsi" w:cstheme="minorHAnsi"/>
          <w:b/>
        </w:rPr>
      </w:pPr>
    </w:p>
    <w:sectPr w:rsidR="006A2869" w:rsidRPr="006A2869">
      <w:type w:val="continuous"/>
      <w:pgSz w:w="12240" w:h="15840"/>
      <w:pgMar w:top="74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9A"/>
    <w:rsid w:val="00072A27"/>
    <w:rsid w:val="003B294D"/>
    <w:rsid w:val="004D28DB"/>
    <w:rsid w:val="004D638A"/>
    <w:rsid w:val="00532DE0"/>
    <w:rsid w:val="006A2869"/>
    <w:rsid w:val="009535D9"/>
    <w:rsid w:val="00A50DD7"/>
    <w:rsid w:val="00CD23F6"/>
    <w:rsid w:val="00CF2A9A"/>
    <w:rsid w:val="00D70921"/>
    <w:rsid w:val="00D94C55"/>
    <w:rsid w:val="00E37D12"/>
    <w:rsid w:val="00F135AB"/>
    <w:rsid w:val="00F4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2E51"/>
  <w15:docId w15:val="{49B89B0B-96E8-47B1-A13C-D1FF88FC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1"/>
      <w:ind w:left="445" w:right="683"/>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A50DD7"/>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50DD7"/>
    <w:rPr>
      <w:b/>
      <w:bCs/>
    </w:rPr>
  </w:style>
  <w:style w:type="character" w:styleId="Hyperlink">
    <w:name w:val="Hyperlink"/>
    <w:basedOn w:val="DefaultParagraphFont"/>
    <w:uiPriority w:val="99"/>
    <w:unhideWhenUsed/>
    <w:rsid w:val="00953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13696">
      <w:bodyDiv w:val="1"/>
      <w:marLeft w:val="0"/>
      <w:marRight w:val="0"/>
      <w:marTop w:val="0"/>
      <w:marBottom w:val="0"/>
      <w:divBdr>
        <w:top w:val="none" w:sz="0" w:space="0" w:color="auto"/>
        <w:left w:val="none" w:sz="0" w:space="0" w:color="auto"/>
        <w:bottom w:val="none" w:sz="0" w:space="0" w:color="auto"/>
        <w:right w:val="none" w:sz="0" w:space="0" w:color="auto"/>
      </w:divBdr>
    </w:div>
    <w:div w:id="809902429">
      <w:bodyDiv w:val="1"/>
      <w:marLeft w:val="0"/>
      <w:marRight w:val="0"/>
      <w:marTop w:val="0"/>
      <w:marBottom w:val="0"/>
      <w:divBdr>
        <w:top w:val="none" w:sz="0" w:space="0" w:color="auto"/>
        <w:left w:val="none" w:sz="0" w:space="0" w:color="auto"/>
        <w:bottom w:val="none" w:sz="0" w:space="0" w:color="auto"/>
        <w:right w:val="none" w:sz="0" w:space="0" w:color="auto"/>
      </w:divBdr>
    </w:div>
    <w:div w:id="151456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rterChester.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PCI Hamden Blood Drive Press Release.docx</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PCI Hamden Blood Drive Press Release.docx</dc:title>
  <dc:creator>Desiree Morris</dc:creator>
  <cp:lastModifiedBy>Desiree Morris</cp:lastModifiedBy>
  <cp:revision>4</cp:revision>
  <dcterms:created xsi:type="dcterms:W3CDTF">2025-04-14T20:09:00Z</dcterms:created>
  <dcterms:modified xsi:type="dcterms:W3CDTF">2025-04-15T16:26:00Z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