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A9A" w:rsidRDefault="00F135AB">
      <w:pPr>
        <w:pStyle w:val="BodyText"/>
        <w:ind w:left="4870"/>
        <w:rPr>
          <w:sz w:val="20"/>
        </w:rPr>
      </w:pPr>
      <w:r>
        <w:rPr>
          <w:noProof/>
          <w:sz w:val="20"/>
        </w:rPr>
        <w:drawing>
          <wp:inline distT="0" distB="0" distL="0" distR="0">
            <wp:extent cx="2873778" cy="65227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2873778" cy="652272"/>
                    </a:xfrm>
                    <a:prstGeom prst="rect">
                      <a:avLst/>
                    </a:prstGeom>
                  </pic:spPr>
                </pic:pic>
              </a:graphicData>
            </a:graphic>
          </wp:inline>
        </w:drawing>
      </w:r>
    </w:p>
    <w:p w:rsidR="003B294D" w:rsidRDefault="003B294D">
      <w:pPr>
        <w:pStyle w:val="BodyText"/>
        <w:ind w:left="4870"/>
        <w:rPr>
          <w:sz w:val="20"/>
        </w:rPr>
      </w:pPr>
    </w:p>
    <w:p w:rsidR="003B294D" w:rsidRDefault="003B294D">
      <w:pPr>
        <w:pStyle w:val="BodyText"/>
        <w:ind w:left="4870"/>
        <w:rPr>
          <w:sz w:val="20"/>
        </w:rPr>
      </w:pPr>
      <w:r>
        <w:rPr>
          <w:noProof/>
        </w:rPr>
        <w:drawing>
          <wp:inline distT="114300" distB="114300" distL="114300" distR="114300" wp14:anchorId="19B40CD7" wp14:editId="2B5D536C">
            <wp:extent cx="2586038" cy="745585"/>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586038" cy="745585"/>
                    </a:xfrm>
                    <a:prstGeom prst="rect">
                      <a:avLst/>
                    </a:prstGeom>
                    <a:ln/>
                  </pic:spPr>
                </pic:pic>
              </a:graphicData>
            </a:graphic>
          </wp:inline>
        </w:drawing>
      </w:r>
    </w:p>
    <w:p w:rsidR="00CF2A9A" w:rsidRDefault="00CF2A9A">
      <w:pPr>
        <w:pStyle w:val="BodyText"/>
        <w:spacing w:before="1"/>
        <w:rPr>
          <w:sz w:val="25"/>
        </w:rPr>
      </w:pPr>
    </w:p>
    <w:p w:rsidR="00CF2A9A" w:rsidRPr="00451D49" w:rsidRDefault="00F135AB" w:rsidP="00451D49">
      <w:pPr>
        <w:spacing w:before="89"/>
        <w:ind w:left="100"/>
        <w:rPr>
          <w:b/>
          <w:sz w:val="26"/>
        </w:rPr>
      </w:pPr>
      <w:r>
        <w:rPr>
          <w:b/>
          <w:sz w:val="26"/>
        </w:rPr>
        <w:t>For</w:t>
      </w:r>
      <w:r>
        <w:rPr>
          <w:b/>
          <w:spacing w:val="-6"/>
          <w:sz w:val="26"/>
        </w:rPr>
        <w:t xml:space="preserve"> </w:t>
      </w:r>
      <w:r>
        <w:rPr>
          <w:b/>
          <w:sz w:val="26"/>
        </w:rPr>
        <w:t>Immediate</w:t>
      </w:r>
      <w:r>
        <w:rPr>
          <w:b/>
          <w:spacing w:val="-6"/>
          <w:sz w:val="26"/>
        </w:rPr>
        <w:t xml:space="preserve"> </w:t>
      </w:r>
      <w:r>
        <w:rPr>
          <w:b/>
          <w:spacing w:val="-2"/>
          <w:sz w:val="26"/>
        </w:rPr>
        <w:t>Release:</w:t>
      </w:r>
      <w:bookmarkStart w:id="0" w:name="_GoBack"/>
      <w:bookmarkEnd w:id="0"/>
    </w:p>
    <w:p w:rsidR="00CF2A9A" w:rsidRDefault="00F135AB">
      <w:pPr>
        <w:ind w:left="100"/>
        <w:rPr>
          <w:b/>
          <w:sz w:val="24"/>
        </w:rPr>
      </w:pPr>
      <w:r>
        <w:rPr>
          <w:b/>
          <w:sz w:val="24"/>
        </w:rPr>
        <w:t xml:space="preserve">Contact: </w:t>
      </w:r>
      <w:r w:rsidR="00A50DD7">
        <w:rPr>
          <w:b/>
          <w:sz w:val="24"/>
        </w:rPr>
        <w:t>Desiree Morris</w:t>
      </w:r>
    </w:p>
    <w:p w:rsidR="00CF2A9A" w:rsidRDefault="00A50DD7">
      <w:pPr>
        <w:ind w:left="820" w:right="2281"/>
        <w:rPr>
          <w:b/>
          <w:sz w:val="24"/>
        </w:rPr>
      </w:pPr>
      <w:r>
        <w:rPr>
          <w:b/>
          <w:sz w:val="24"/>
        </w:rPr>
        <w:t>desiree.morris@yti.edu</w:t>
      </w:r>
    </w:p>
    <w:p w:rsidR="00CF2A9A" w:rsidRDefault="00A50DD7">
      <w:pPr>
        <w:ind w:left="820"/>
        <w:rPr>
          <w:b/>
          <w:sz w:val="24"/>
        </w:rPr>
      </w:pPr>
      <w:r>
        <w:rPr>
          <w:b/>
          <w:sz w:val="24"/>
        </w:rPr>
        <w:t>717.654.1793</w:t>
      </w:r>
    </w:p>
    <w:p w:rsidR="009E0519" w:rsidRPr="00451D49" w:rsidRDefault="009E0519" w:rsidP="009E0519">
      <w:pPr>
        <w:widowControl/>
        <w:autoSpaceDE/>
        <w:autoSpaceDN/>
        <w:spacing w:before="100" w:beforeAutospacing="1" w:after="100" w:afterAutospacing="1"/>
        <w:rPr>
          <w:sz w:val="24"/>
          <w:szCs w:val="24"/>
        </w:rPr>
      </w:pPr>
      <w:r w:rsidRPr="00451D49">
        <w:rPr>
          <w:b/>
          <w:bCs/>
          <w:sz w:val="24"/>
          <w:szCs w:val="24"/>
        </w:rPr>
        <w:t>Exciting Opportunity for Porter and Chester Institute Dental Assisting Graduates to Advance Their Credentials</w:t>
      </w:r>
    </w:p>
    <w:p w:rsidR="007E3652" w:rsidRPr="00451D49" w:rsidRDefault="009E0519" w:rsidP="007E3652">
      <w:pPr>
        <w:spacing w:before="100" w:beforeAutospacing="1" w:after="100" w:afterAutospacing="1"/>
        <w:rPr>
          <w:rFonts w:asciiTheme="minorHAnsi" w:hAnsiTheme="minorHAnsi" w:cstheme="minorHAnsi"/>
          <w:sz w:val="24"/>
          <w:szCs w:val="24"/>
        </w:rPr>
      </w:pPr>
      <w:r w:rsidRPr="00451D49">
        <w:rPr>
          <w:b/>
          <w:bCs/>
        </w:rPr>
        <w:t>April 14</w:t>
      </w:r>
      <w:r w:rsidRPr="00451D49">
        <w:rPr>
          <w:b/>
          <w:bCs/>
          <w:vertAlign w:val="superscript"/>
        </w:rPr>
        <w:t>th</w:t>
      </w:r>
      <w:r w:rsidRPr="00451D49">
        <w:rPr>
          <w:b/>
          <w:bCs/>
        </w:rPr>
        <w:t xml:space="preserve"> 2024</w:t>
      </w:r>
      <w:r w:rsidR="007E3652">
        <w:rPr>
          <w:b/>
          <w:bCs/>
          <w:sz w:val="24"/>
          <w:szCs w:val="24"/>
        </w:rPr>
        <w:t xml:space="preserve">- </w:t>
      </w:r>
      <w:r w:rsidR="007E3652" w:rsidRPr="00451D49">
        <w:rPr>
          <w:rFonts w:asciiTheme="minorHAnsi" w:hAnsiTheme="minorHAnsi" w:cstheme="minorHAnsi"/>
          <w:sz w:val="24"/>
          <w:szCs w:val="24"/>
        </w:rPr>
        <w:t xml:space="preserve">We’re thrilled to share exciting news for graduates of the Dental Assisting program at </w:t>
      </w:r>
      <w:r w:rsidR="007E3652" w:rsidRPr="00451D49">
        <w:rPr>
          <w:rFonts w:asciiTheme="minorHAnsi" w:hAnsiTheme="minorHAnsi" w:cstheme="minorHAnsi"/>
          <w:bCs/>
          <w:sz w:val="24"/>
          <w:szCs w:val="24"/>
        </w:rPr>
        <w:t>Porter and Chester Institute (PCI)</w:t>
      </w:r>
      <w:r w:rsidR="007E3652" w:rsidRPr="00451D49">
        <w:rPr>
          <w:rFonts w:asciiTheme="minorHAnsi" w:hAnsiTheme="minorHAnsi" w:cstheme="minorHAnsi"/>
          <w:sz w:val="24"/>
          <w:szCs w:val="24"/>
        </w:rPr>
        <w:t>!</w:t>
      </w:r>
    </w:p>
    <w:p w:rsidR="007E3652" w:rsidRPr="00451D49" w:rsidRDefault="007E3652" w:rsidP="007E3652">
      <w:pPr>
        <w:widowControl/>
        <w:autoSpaceDE/>
        <w:autoSpaceDN/>
        <w:spacing w:before="100" w:beforeAutospacing="1" w:after="100" w:afterAutospacing="1"/>
        <w:rPr>
          <w:rFonts w:asciiTheme="minorHAnsi" w:hAnsiTheme="minorHAnsi" w:cstheme="minorHAnsi"/>
          <w:sz w:val="24"/>
          <w:szCs w:val="24"/>
        </w:rPr>
      </w:pPr>
      <w:r w:rsidRPr="00451D49">
        <w:rPr>
          <w:rFonts w:asciiTheme="minorHAnsi" w:hAnsiTheme="minorHAnsi" w:cstheme="minorHAnsi"/>
          <w:sz w:val="24"/>
          <w:szCs w:val="24"/>
        </w:rPr>
        <w:t xml:space="preserve">Earlier this year, our sister school, </w:t>
      </w:r>
      <w:r w:rsidRPr="00451D49">
        <w:rPr>
          <w:rFonts w:asciiTheme="minorHAnsi" w:hAnsiTheme="minorHAnsi" w:cstheme="minorHAnsi"/>
          <w:bCs/>
          <w:sz w:val="24"/>
          <w:szCs w:val="24"/>
        </w:rPr>
        <w:t>YTI Career Institute</w:t>
      </w:r>
      <w:r w:rsidRPr="00451D49">
        <w:rPr>
          <w:rFonts w:asciiTheme="minorHAnsi" w:hAnsiTheme="minorHAnsi" w:cstheme="minorHAnsi"/>
          <w:sz w:val="24"/>
          <w:szCs w:val="24"/>
        </w:rPr>
        <w:t xml:space="preserve">, was approached by the </w:t>
      </w:r>
      <w:r w:rsidRPr="00451D49">
        <w:rPr>
          <w:rFonts w:asciiTheme="minorHAnsi" w:hAnsiTheme="minorHAnsi" w:cstheme="minorHAnsi"/>
          <w:bCs/>
          <w:sz w:val="24"/>
          <w:szCs w:val="24"/>
        </w:rPr>
        <w:t>Dental Assisting National Board (DANB)</w:t>
      </w:r>
      <w:r w:rsidRPr="00451D49">
        <w:rPr>
          <w:rFonts w:asciiTheme="minorHAnsi" w:hAnsiTheme="minorHAnsi" w:cstheme="minorHAnsi"/>
          <w:sz w:val="24"/>
          <w:szCs w:val="24"/>
        </w:rPr>
        <w:t xml:space="preserve"> to participate in a groundbreaking research study focused on the </w:t>
      </w:r>
      <w:r w:rsidRPr="00451D49">
        <w:rPr>
          <w:rFonts w:asciiTheme="minorHAnsi" w:hAnsiTheme="minorHAnsi" w:cstheme="minorHAnsi"/>
          <w:bCs/>
          <w:sz w:val="24"/>
          <w:szCs w:val="24"/>
        </w:rPr>
        <w:t>General Chairside (GC) Assisting exam</w:t>
      </w:r>
      <w:r w:rsidRPr="00451D49">
        <w:rPr>
          <w:rFonts w:asciiTheme="minorHAnsi" w:hAnsiTheme="minorHAnsi" w:cstheme="minorHAnsi"/>
          <w:sz w:val="24"/>
          <w:szCs w:val="24"/>
        </w:rPr>
        <w:t>. This unique opportunity was extended to dental assisting programs that are not currently accredited by the Commission on Dental Accreditation (CODA), offering a new pathway for graduates to advance their professional credentials.</w:t>
      </w:r>
    </w:p>
    <w:p w:rsidR="007E3652" w:rsidRPr="00451D49" w:rsidRDefault="007E3652" w:rsidP="007E3652">
      <w:pPr>
        <w:widowControl/>
        <w:autoSpaceDE/>
        <w:autoSpaceDN/>
        <w:spacing w:before="100" w:beforeAutospacing="1" w:after="100" w:afterAutospacing="1"/>
        <w:rPr>
          <w:rFonts w:asciiTheme="minorHAnsi" w:hAnsiTheme="minorHAnsi" w:cstheme="minorHAnsi"/>
          <w:sz w:val="24"/>
          <w:szCs w:val="24"/>
        </w:rPr>
      </w:pPr>
      <w:r w:rsidRPr="00451D49">
        <w:rPr>
          <w:rFonts w:asciiTheme="minorHAnsi" w:hAnsiTheme="minorHAnsi" w:cstheme="minorHAnsi"/>
          <w:sz w:val="24"/>
          <w:szCs w:val="24"/>
        </w:rPr>
        <w:t xml:space="preserve">Thanks to the initiative and leadership of </w:t>
      </w:r>
      <w:r w:rsidRPr="00451D49">
        <w:rPr>
          <w:rFonts w:asciiTheme="minorHAnsi" w:hAnsiTheme="minorHAnsi" w:cstheme="minorHAnsi"/>
          <w:bCs/>
          <w:sz w:val="24"/>
          <w:szCs w:val="24"/>
        </w:rPr>
        <w:t xml:space="preserve">Emily </w:t>
      </w:r>
      <w:proofErr w:type="spellStart"/>
      <w:r w:rsidRPr="00451D49">
        <w:rPr>
          <w:rFonts w:asciiTheme="minorHAnsi" w:hAnsiTheme="minorHAnsi" w:cstheme="minorHAnsi"/>
          <w:bCs/>
          <w:sz w:val="24"/>
          <w:szCs w:val="24"/>
        </w:rPr>
        <w:t>Yinger</w:t>
      </w:r>
      <w:proofErr w:type="spellEnd"/>
      <w:r w:rsidRPr="00451D49">
        <w:rPr>
          <w:rFonts w:asciiTheme="minorHAnsi" w:hAnsiTheme="minorHAnsi" w:cstheme="minorHAnsi"/>
          <w:sz w:val="24"/>
          <w:szCs w:val="24"/>
        </w:rPr>
        <w:t>, Program Director of Dental Assisting &amp; Expanded Functions Dental Assisting at YTI, the application was submitted and successfully approved. Recognizing the value of this opportunity, Emily inquired whether PCI campuses might also be eligible. In response, DANB provided applications for all seven PCI campuses.</w:t>
      </w:r>
      <w:r w:rsidR="00451D49" w:rsidRPr="00451D49">
        <w:rPr>
          <w:rFonts w:asciiTheme="minorHAnsi" w:hAnsiTheme="minorHAnsi" w:cstheme="minorHAnsi"/>
          <w:sz w:val="24"/>
          <w:szCs w:val="24"/>
        </w:rPr>
        <w:t xml:space="preserve">  </w:t>
      </w:r>
      <w:r w:rsidR="00451D49" w:rsidRPr="00451D49">
        <w:rPr>
          <w:rFonts w:asciiTheme="minorHAnsi" w:hAnsiTheme="minorHAnsi" w:cstheme="minorHAnsi"/>
          <w:sz w:val="24"/>
          <w:szCs w:val="24"/>
        </w:rPr>
        <w:t xml:space="preserve">“We are proud to announce that all seven PCI campuses have officially been accepted into the study,” said Emily </w:t>
      </w:r>
      <w:proofErr w:type="spellStart"/>
      <w:r w:rsidR="00451D49" w:rsidRPr="00451D49">
        <w:rPr>
          <w:rFonts w:asciiTheme="minorHAnsi" w:hAnsiTheme="minorHAnsi" w:cstheme="minorHAnsi"/>
          <w:sz w:val="24"/>
          <w:szCs w:val="24"/>
        </w:rPr>
        <w:t>Yinger</w:t>
      </w:r>
      <w:proofErr w:type="spellEnd"/>
      <w:r w:rsidR="00451D49" w:rsidRPr="00451D49">
        <w:rPr>
          <w:rFonts w:asciiTheme="minorHAnsi" w:hAnsiTheme="minorHAnsi" w:cstheme="minorHAnsi"/>
          <w:sz w:val="24"/>
          <w:szCs w:val="24"/>
        </w:rPr>
        <w:t>, Program Director of Dental Assisting &amp; Expanded Functions Dental Assisting at YTI Career Institute.</w:t>
      </w:r>
    </w:p>
    <w:p w:rsidR="007E3652" w:rsidRPr="00451D49" w:rsidRDefault="007E3652" w:rsidP="007E3652">
      <w:pPr>
        <w:widowControl/>
        <w:autoSpaceDE/>
        <w:autoSpaceDN/>
        <w:spacing w:before="100" w:beforeAutospacing="1" w:after="100" w:afterAutospacing="1"/>
        <w:rPr>
          <w:rFonts w:asciiTheme="minorHAnsi" w:hAnsiTheme="minorHAnsi" w:cstheme="minorHAnsi"/>
          <w:sz w:val="24"/>
          <w:szCs w:val="24"/>
        </w:rPr>
      </w:pPr>
      <w:r w:rsidRPr="00451D49">
        <w:rPr>
          <w:rFonts w:asciiTheme="minorHAnsi" w:hAnsiTheme="minorHAnsi" w:cstheme="minorHAnsi"/>
          <w:sz w:val="24"/>
          <w:szCs w:val="24"/>
        </w:rPr>
        <w:t>This special study opens the door for eligible PCI Dental Assisting graduates to participate in a streamlined path toward earning certification by taking the General Chairside (GC) exam.</w:t>
      </w:r>
    </w:p>
    <w:p w:rsidR="007E3652" w:rsidRPr="00451D49" w:rsidRDefault="007E3652" w:rsidP="007E3652">
      <w:pPr>
        <w:widowControl/>
        <w:autoSpaceDE/>
        <w:autoSpaceDN/>
        <w:spacing w:before="100" w:beforeAutospacing="1" w:after="100" w:afterAutospacing="1"/>
        <w:rPr>
          <w:rFonts w:asciiTheme="minorHAnsi" w:hAnsiTheme="minorHAnsi" w:cstheme="minorHAnsi"/>
          <w:sz w:val="24"/>
          <w:szCs w:val="24"/>
        </w:rPr>
      </w:pPr>
      <w:r w:rsidRPr="00451D49">
        <w:rPr>
          <w:rFonts w:asciiTheme="minorHAnsi" w:hAnsiTheme="minorHAnsi" w:cstheme="minorHAnsi"/>
          <w:bCs/>
          <w:sz w:val="24"/>
          <w:szCs w:val="24"/>
        </w:rPr>
        <w:t>For more information about eligibility or how to apply, graduates are encouraged to contact their campus’s Dental Assisting Program Director or administrator.</w:t>
      </w:r>
    </w:p>
    <w:p w:rsidR="006A2869" w:rsidRPr="007E3652" w:rsidRDefault="006A2869" w:rsidP="007E3652">
      <w:pPr>
        <w:widowControl/>
        <w:autoSpaceDE/>
        <w:autoSpaceDN/>
        <w:spacing w:before="100" w:beforeAutospacing="1" w:after="100" w:afterAutospacing="1"/>
        <w:rPr>
          <w:rFonts w:asciiTheme="minorHAnsi" w:hAnsiTheme="minorHAnsi" w:cstheme="minorHAnsi"/>
          <w:b/>
        </w:rPr>
      </w:pPr>
      <w:r w:rsidRPr="007E3652">
        <w:rPr>
          <w:rFonts w:asciiTheme="minorHAnsi" w:hAnsiTheme="minorHAnsi" w:cstheme="minorHAnsi"/>
          <w:b/>
        </w:rPr>
        <w:t>About</w:t>
      </w:r>
      <w:r w:rsidRPr="007E3652">
        <w:rPr>
          <w:rFonts w:asciiTheme="minorHAnsi" w:hAnsiTheme="minorHAnsi" w:cstheme="minorHAnsi"/>
          <w:b/>
          <w:spacing w:val="-5"/>
        </w:rPr>
        <w:t xml:space="preserve"> </w:t>
      </w:r>
      <w:r w:rsidRPr="007E3652">
        <w:rPr>
          <w:rFonts w:asciiTheme="minorHAnsi" w:hAnsiTheme="minorHAnsi" w:cstheme="minorHAnsi"/>
          <w:b/>
        </w:rPr>
        <w:t>Porter</w:t>
      </w:r>
      <w:r w:rsidRPr="007E3652">
        <w:rPr>
          <w:rFonts w:asciiTheme="minorHAnsi" w:hAnsiTheme="minorHAnsi" w:cstheme="minorHAnsi"/>
          <w:b/>
          <w:spacing w:val="-5"/>
        </w:rPr>
        <w:t xml:space="preserve"> </w:t>
      </w:r>
      <w:r w:rsidRPr="007E3652">
        <w:rPr>
          <w:rFonts w:asciiTheme="minorHAnsi" w:hAnsiTheme="minorHAnsi" w:cstheme="minorHAnsi"/>
          <w:b/>
        </w:rPr>
        <w:t>and</w:t>
      </w:r>
      <w:r w:rsidRPr="007E3652">
        <w:rPr>
          <w:rFonts w:asciiTheme="minorHAnsi" w:hAnsiTheme="minorHAnsi" w:cstheme="minorHAnsi"/>
          <w:b/>
          <w:spacing w:val="-5"/>
        </w:rPr>
        <w:t xml:space="preserve"> </w:t>
      </w:r>
      <w:r w:rsidRPr="007E3652">
        <w:rPr>
          <w:rFonts w:asciiTheme="minorHAnsi" w:hAnsiTheme="minorHAnsi" w:cstheme="minorHAnsi"/>
          <w:b/>
        </w:rPr>
        <w:t>Chester</w:t>
      </w:r>
      <w:r w:rsidRPr="007E3652">
        <w:rPr>
          <w:rFonts w:asciiTheme="minorHAnsi" w:hAnsiTheme="minorHAnsi" w:cstheme="minorHAnsi"/>
          <w:b/>
          <w:spacing w:val="-5"/>
        </w:rPr>
        <w:t xml:space="preserve"> </w:t>
      </w:r>
      <w:r w:rsidRPr="007E3652">
        <w:rPr>
          <w:rFonts w:asciiTheme="minorHAnsi" w:hAnsiTheme="minorHAnsi" w:cstheme="minorHAnsi"/>
          <w:b/>
        </w:rPr>
        <w:t>Institute:</w:t>
      </w:r>
      <w:r w:rsidRPr="007E3652">
        <w:rPr>
          <w:rFonts w:asciiTheme="minorHAnsi" w:hAnsiTheme="minorHAnsi" w:cstheme="minorHAnsi"/>
          <w:b/>
          <w:spacing w:val="-5"/>
        </w:rPr>
        <w:t xml:space="preserve"> </w:t>
      </w:r>
      <w:r w:rsidRPr="007E3652">
        <w:rPr>
          <w:rFonts w:asciiTheme="minorHAnsi" w:hAnsiTheme="minorHAnsi" w:cstheme="minorHAnsi"/>
        </w:rPr>
        <w:t>Porter</w:t>
      </w:r>
      <w:r w:rsidRPr="007E3652">
        <w:rPr>
          <w:rFonts w:asciiTheme="minorHAnsi" w:hAnsiTheme="minorHAnsi" w:cstheme="minorHAnsi"/>
          <w:spacing w:val="-5"/>
        </w:rPr>
        <w:t xml:space="preserve"> </w:t>
      </w:r>
      <w:r w:rsidRPr="007E3652">
        <w:rPr>
          <w:rFonts w:asciiTheme="minorHAnsi" w:hAnsiTheme="minorHAnsi" w:cstheme="minorHAnsi"/>
        </w:rPr>
        <w:t>and</w:t>
      </w:r>
      <w:r w:rsidRPr="007E3652">
        <w:rPr>
          <w:rFonts w:asciiTheme="minorHAnsi" w:hAnsiTheme="minorHAnsi" w:cstheme="minorHAnsi"/>
          <w:spacing w:val="-5"/>
        </w:rPr>
        <w:t xml:space="preserve"> </w:t>
      </w:r>
      <w:r w:rsidRPr="007E3652">
        <w:rPr>
          <w:rFonts w:asciiTheme="minorHAnsi" w:hAnsiTheme="minorHAnsi" w:cstheme="minorHAnsi"/>
        </w:rPr>
        <w:t>Chester</w:t>
      </w:r>
      <w:r w:rsidRPr="007E3652">
        <w:rPr>
          <w:rFonts w:asciiTheme="minorHAnsi" w:hAnsiTheme="minorHAnsi" w:cstheme="minorHAnsi"/>
          <w:spacing w:val="-5"/>
        </w:rPr>
        <w:t xml:space="preserve"> </w:t>
      </w:r>
      <w:r w:rsidRPr="007E3652">
        <w:rPr>
          <w:rFonts w:asciiTheme="minorHAnsi" w:hAnsiTheme="minorHAnsi" w:cstheme="minorHAnsi"/>
        </w:rPr>
        <w:t>Institute</w:t>
      </w:r>
      <w:r w:rsidRPr="007E3652">
        <w:rPr>
          <w:rFonts w:asciiTheme="minorHAnsi" w:hAnsiTheme="minorHAnsi" w:cstheme="minorHAnsi"/>
          <w:spacing w:val="-5"/>
        </w:rPr>
        <w:t xml:space="preserve"> </w:t>
      </w:r>
      <w:r w:rsidRPr="007E3652">
        <w:rPr>
          <w:rFonts w:asciiTheme="minorHAnsi" w:hAnsiTheme="minorHAnsi" w:cstheme="minorHAnsi"/>
        </w:rPr>
        <w:t>(PCI),</w:t>
      </w:r>
      <w:r w:rsidRPr="007E3652">
        <w:rPr>
          <w:rFonts w:asciiTheme="minorHAnsi" w:hAnsiTheme="minorHAnsi" w:cstheme="minorHAnsi"/>
          <w:spacing w:val="-5"/>
        </w:rPr>
        <w:t xml:space="preserve"> </w:t>
      </w:r>
      <w:r w:rsidRPr="007E3652">
        <w:rPr>
          <w:rFonts w:asciiTheme="minorHAnsi" w:hAnsiTheme="minorHAnsi" w:cstheme="minorHAnsi"/>
        </w:rPr>
        <w:t>a</w:t>
      </w:r>
      <w:r w:rsidRPr="007E3652">
        <w:rPr>
          <w:rFonts w:asciiTheme="minorHAnsi" w:hAnsiTheme="minorHAnsi" w:cstheme="minorHAnsi"/>
          <w:spacing w:val="-5"/>
        </w:rPr>
        <w:t xml:space="preserve"> </w:t>
      </w:r>
      <w:r w:rsidRPr="007E3652">
        <w:rPr>
          <w:rFonts w:asciiTheme="minorHAnsi" w:hAnsiTheme="minorHAnsi" w:cstheme="minorHAnsi"/>
        </w:rPr>
        <w:t>private, post-secondary technical institution with seven campuses throughout Connecticut and Massachusetts, featuring twelve</w:t>
      </w:r>
      <w:r w:rsidRPr="007E3652">
        <w:rPr>
          <w:rFonts w:asciiTheme="minorHAnsi" w:hAnsiTheme="minorHAnsi" w:cstheme="minorHAnsi"/>
          <w:spacing w:val="40"/>
        </w:rPr>
        <w:t xml:space="preserve"> </w:t>
      </w:r>
      <w:r w:rsidRPr="007E3652">
        <w:rPr>
          <w:rFonts w:asciiTheme="minorHAnsi" w:hAnsiTheme="minorHAnsi" w:cstheme="minorHAnsi"/>
        </w:rPr>
        <w:t>different career programs, supports committed students in</w:t>
      </w:r>
      <w:r w:rsidRPr="007E3652">
        <w:rPr>
          <w:rFonts w:asciiTheme="minorHAnsi" w:hAnsiTheme="minorHAnsi" w:cstheme="minorHAnsi"/>
          <w:spacing w:val="-1"/>
        </w:rPr>
        <w:t xml:space="preserve"> </w:t>
      </w:r>
      <w:r w:rsidRPr="007E3652">
        <w:rPr>
          <w:rFonts w:asciiTheme="minorHAnsi" w:hAnsiTheme="minorHAnsi" w:cstheme="minorHAnsi"/>
        </w:rPr>
        <w:t>achieving</w:t>
      </w:r>
      <w:r w:rsidRPr="007E3652">
        <w:rPr>
          <w:rFonts w:asciiTheme="minorHAnsi" w:hAnsiTheme="minorHAnsi" w:cstheme="minorHAnsi"/>
          <w:spacing w:val="-1"/>
        </w:rPr>
        <w:t xml:space="preserve"> </w:t>
      </w:r>
      <w:r w:rsidRPr="007E3652">
        <w:rPr>
          <w:rFonts w:asciiTheme="minorHAnsi" w:hAnsiTheme="minorHAnsi" w:cstheme="minorHAnsi"/>
        </w:rPr>
        <w:t>the</w:t>
      </w:r>
      <w:r w:rsidRPr="007E3652">
        <w:rPr>
          <w:rFonts w:asciiTheme="minorHAnsi" w:hAnsiTheme="minorHAnsi" w:cstheme="minorHAnsi"/>
          <w:spacing w:val="-1"/>
        </w:rPr>
        <w:t xml:space="preserve"> </w:t>
      </w:r>
      <w:r w:rsidRPr="007E3652">
        <w:rPr>
          <w:rFonts w:asciiTheme="minorHAnsi" w:hAnsiTheme="minorHAnsi" w:cstheme="minorHAnsi"/>
        </w:rPr>
        <w:t>technical</w:t>
      </w:r>
      <w:r w:rsidRPr="007E3652">
        <w:rPr>
          <w:rFonts w:asciiTheme="minorHAnsi" w:hAnsiTheme="minorHAnsi" w:cstheme="minorHAnsi"/>
          <w:spacing w:val="-1"/>
        </w:rPr>
        <w:t xml:space="preserve"> </w:t>
      </w:r>
      <w:r w:rsidRPr="007E3652">
        <w:rPr>
          <w:rFonts w:asciiTheme="minorHAnsi" w:hAnsiTheme="minorHAnsi" w:cstheme="minorHAnsi"/>
        </w:rPr>
        <w:t>and</w:t>
      </w:r>
      <w:r w:rsidRPr="007E3652">
        <w:rPr>
          <w:rFonts w:asciiTheme="minorHAnsi" w:hAnsiTheme="minorHAnsi" w:cstheme="minorHAnsi"/>
          <w:spacing w:val="-1"/>
        </w:rPr>
        <w:t xml:space="preserve"> </w:t>
      </w:r>
      <w:r w:rsidRPr="007E3652">
        <w:rPr>
          <w:rFonts w:asciiTheme="minorHAnsi" w:hAnsiTheme="minorHAnsi" w:cstheme="minorHAnsi"/>
        </w:rPr>
        <w:t>professional</w:t>
      </w:r>
      <w:r w:rsidRPr="007E3652">
        <w:rPr>
          <w:rFonts w:asciiTheme="minorHAnsi" w:hAnsiTheme="minorHAnsi" w:cstheme="minorHAnsi"/>
          <w:spacing w:val="-1"/>
        </w:rPr>
        <w:t xml:space="preserve"> </w:t>
      </w:r>
      <w:r w:rsidRPr="007E3652">
        <w:rPr>
          <w:rFonts w:asciiTheme="minorHAnsi" w:hAnsiTheme="minorHAnsi" w:cstheme="minorHAnsi"/>
        </w:rPr>
        <w:t>skills</w:t>
      </w:r>
      <w:r w:rsidRPr="007E3652">
        <w:rPr>
          <w:rFonts w:asciiTheme="minorHAnsi" w:hAnsiTheme="minorHAnsi" w:cstheme="minorHAnsi"/>
          <w:spacing w:val="-1"/>
        </w:rPr>
        <w:t xml:space="preserve"> </w:t>
      </w:r>
      <w:r w:rsidRPr="007E3652">
        <w:rPr>
          <w:rFonts w:asciiTheme="minorHAnsi" w:hAnsiTheme="minorHAnsi" w:cstheme="minorHAnsi"/>
        </w:rPr>
        <w:t>essential</w:t>
      </w:r>
      <w:r w:rsidRPr="007E3652">
        <w:rPr>
          <w:rFonts w:asciiTheme="minorHAnsi" w:hAnsiTheme="minorHAnsi" w:cstheme="minorHAnsi"/>
          <w:spacing w:val="-1"/>
        </w:rPr>
        <w:t xml:space="preserve"> </w:t>
      </w:r>
      <w:r w:rsidRPr="007E3652">
        <w:rPr>
          <w:rFonts w:asciiTheme="minorHAnsi" w:hAnsiTheme="minorHAnsi" w:cstheme="minorHAnsi"/>
        </w:rPr>
        <w:t>for</w:t>
      </w:r>
      <w:r w:rsidRPr="007E3652">
        <w:rPr>
          <w:rFonts w:asciiTheme="minorHAnsi" w:hAnsiTheme="minorHAnsi" w:cstheme="minorHAnsi"/>
          <w:spacing w:val="-1"/>
        </w:rPr>
        <w:t xml:space="preserve"> </w:t>
      </w:r>
      <w:r w:rsidRPr="007E3652">
        <w:rPr>
          <w:rFonts w:asciiTheme="minorHAnsi" w:hAnsiTheme="minorHAnsi" w:cstheme="minorHAnsi"/>
        </w:rPr>
        <w:t>their</w:t>
      </w:r>
      <w:r w:rsidRPr="007E3652">
        <w:rPr>
          <w:rFonts w:asciiTheme="minorHAnsi" w:hAnsiTheme="minorHAnsi" w:cstheme="minorHAnsi"/>
          <w:spacing w:val="-1"/>
        </w:rPr>
        <w:t xml:space="preserve"> </w:t>
      </w:r>
      <w:r w:rsidRPr="007E3652">
        <w:rPr>
          <w:rFonts w:asciiTheme="minorHAnsi" w:hAnsiTheme="minorHAnsi" w:cstheme="minorHAnsi"/>
        </w:rPr>
        <w:t>chosen</w:t>
      </w:r>
      <w:r w:rsidRPr="007E3652">
        <w:rPr>
          <w:rFonts w:asciiTheme="minorHAnsi" w:hAnsiTheme="minorHAnsi" w:cstheme="minorHAnsi"/>
          <w:spacing w:val="-1"/>
        </w:rPr>
        <w:t xml:space="preserve"> </w:t>
      </w:r>
      <w:r w:rsidRPr="007E3652">
        <w:rPr>
          <w:rFonts w:asciiTheme="minorHAnsi" w:hAnsiTheme="minorHAnsi" w:cstheme="minorHAnsi"/>
        </w:rPr>
        <w:t>career</w:t>
      </w:r>
      <w:r w:rsidRPr="007E3652">
        <w:rPr>
          <w:rFonts w:asciiTheme="minorHAnsi" w:hAnsiTheme="minorHAnsi" w:cstheme="minorHAnsi"/>
          <w:spacing w:val="-1"/>
        </w:rPr>
        <w:t xml:space="preserve"> </w:t>
      </w:r>
      <w:r w:rsidRPr="007E3652">
        <w:rPr>
          <w:rFonts w:asciiTheme="minorHAnsi" w:hAnsiTheme="minorHAnsi" w:cstheme="minorHAnsi"/>
        </w:rPr>
        <w:t>through industry-</w:t>
      </w:r>
      <w:r w:rsidRPr="007E3652">
        <w:rPr>
          <w:rFonts w:asciiTheme="minorHAnsi" w:hAnsiTheme="minorHAnsi" w:cstheme="minorHAnsi"/>
          <w:spacing w:val="-3"/>
        </w:rPr>
        <w:t xml:space="preserve"> </w:t>
      </w:r>
      <w:r w:rsidRPr="007E3652">
        <w:rPr>
          <w:rFonts w:asciiTheme="minorHAnsi" w:hAnsiTheme="minorHAnsi" w:cstheme="minorHAnsi"/>
        </w:rPr>
        <w:t>modeled,</w:t>
      </w:r>
      <w:r w:rsidRPr="007E3652">
        <w:rPr>
          <w:rFonts w:asciiTheme="minorHAnsi" w:hAnsiTheme="minorHAnsi" w:cstheme="minorHAnsi"/>
          <w:spacing w:val="-3"/>
        </w:rPr>
        <w:t xml:space="preserve"> </w:t>
      </w:r>
      <w:r w:rsidRPr="007E3652">
        <w:rPr>
          <w:rFonts w:asciiTheme="minorHAnsi" w:hAnsiTheme="minorHAnsi" w:cstheme="minorHAnsi"/>
        </w:rPr>
        <w:t>student-centered</w:t>
      </w:r>
      <w:r w:rsidRPr="007E3652">
        <w:rPr>
          <w:rFonts w:asciiTheme="minorHAnsi" w:hAnsiTheme="minorHAnsi" w:cstheme="minorHAnsi"/>
          <w:spacing w:val="-3"/>
        </w:rPr>
        <w:t xml:space="preserve"> </w:t>
      </w:r>
      <w:r w:rsidRPr="007E3652">
        <w:rPr>
          <w:rFonts w:asciiTheme="minorHAnsi" w:hAnsiTheme="minorHAnsi" w:cstheme="minorHAnsi"/>
        </w:rPr>
        <w:t>education</w:t>
      </w:r>
      <w:r w:rsidRPr="007E3652">
        <w:rPr>
          <w:rFonts w:asciiTheme="minorHAnsi" w:hAnsiTheme="minorHAnsi" w:cstheme="minorHAnsi"/>
          <w:spacing w:val="-3"/>
        </w:rPr>
        <w:t xml:space="preserve"> </w:t>
      </w:r>
      <w:r w:rsidRPr="007E3652">
        <w:rPr>
          <w:rFonts w:asciiTheme="minorHAnsi" w:hAnsiTheme="minorHAnsi" w:cstheme="minorHAnsi"/>
        </w:rPr>
        <w:t>and</w:t>
      </w:r>
      <w:r w:rsidRPr="007E3652">
        <w:rPr>
          <w:rFonts w:asciiTheme="minorHAnsi" w:hAnsiTheme="minorHAnsi" w:cstheme="minorHAnsi"/>
          <w:spacing w:val="-3"/>
        </w:rPr>
        <w:t xml:space="preserve"> </w:t>
      </w:r>
      <w:r w:rsidRPr="007E3652">
        <w:rPr>
          <w:rFonts w:asciiTheme="minorHAnsi" w:hAnsiTheme="minorHAnsi" w:cstheme="minorHAnsi"/>
        </w:rPr>
        <w:t>training.</w:t>
      </w:r>
      <w:r w:rsidRPr="007E3652">
        <w:rPr>
          <w:rFonts w:asciiTheme="minorHAnsi" w:hAnsiTheme="minorHAnsi" w:cstheme="minorHAnsi"/>
          <w:spacing w:val="-3"/>
        </w:rPr>
        <w:t xml:space="preserve"> </w:t>
      </w:r>
      <w:r w:rsidRPr="007E3652">
        <w:rPr>
          <w:rFonts w:asciiTheme="minorHAnsi" w:hAnsiTheme="minorHAnsi" w:cstheme="minorHAnsi"/>
        </w:rPr>
        <w:t>For</w:t>
      </w:r>
      <w:r w:rsidRPr="007E3652">
        <w:rPr>
          <w:rFonts w:asciiTheme="minorHAnsi" w:hAnsiTheme="minorHAnsi" w:cstheme="minorHAnsi"/>
          <w:spacing w:val="-3"/>
        </w:rPr>
        <w:t xml:space="preserve"> </w:t>
      </w:r>
      <w:r w:rsidRPr="007E3652">
        <w:rPr>
          <w:rFonts w:asciiTheme="minorHAnsi" w:hAnsiTheme="minorHAnsi" w:cstheme="minorHAnsi"/>
        </w:rPr>
        <w:t>more</w:t>
      </w:r>
      <w:r w:rsidRPr="007E3652">
        <w:rPr>
          <w:rFonts w:asciiTheme="minorHAnsi" w:hAnsiTheme="minorHAnsi" w:cstheme="minorHAnsi"/>
          <w:spacing w:val="-3"/>
        </w:rPr>
        <w:t xml:space="preserve"> </w:t>
      </w:r>
      <w:r w:rsidRPr="007E3652">
        <w:rPr>
          <w:rFonts w:asciiTheme="minorHAnsi" w:hAnsiTheme="minorHAnsi" w:cstheme="minorHAnsi"/>
        </w:rPr>
        <w:t>information,</w:t>
      </w:r>
      <w:r w:rsidRPr="007E3652">
        <w:rPr>
          <w:rFonts w:asciiTheme="minorHAnsi" w:hAnsiTheme="minorHAnsi" w:cstheme="minorHAnsi"/>
          <w:spacing w:val="-3"/>
        </w:rPr>
        <w:t xml:space="preserve"> </w:t>
      </w:r>
      <w:r w:rsidRPr="007E3652">
        <w:rPr>
          <w:rFonts w:asciiTheme="minorHAnsi" w:hAnsiTheme="minorHAnsi" w:cstheme="minorHAnsi"/>
        </w:rPr>
        <w:t xml:space="preserve">please visit PCI at </w:t>
      </w:r>
      <w:hyperlink r:id="rId7">
        <w:r w:rsidRPr="007E3652">
          <w:rPr>
            <w:rFonts w:asciiTheme="minorHAnsi" w:hAnsiTheme="minorHAnsi" w:cstheme="minorHAnsi"/>
            <w:color w:val="1154CC"/>
          </w:rPr>
          <w:t>www.PorterChester.edu</w:t>
        </w:r>
      </w:hyperlink>
      <w:r w:rsidRPr="007E3652">
        <w:rPr>
          <w:rFonts w:asciiTheme="minorHAnsi" w:hAnsiTheme="minorHAnsi" w:cstheme="minorHAnsi"/>
          <w:color w:val="1154CC"/>
        </w:rPr>
        <w:t xml:space="preserve"> </w:t>
      </w:r>
      <w:r w:rsidRPr="007E3652">
        <w:rPr>
          <w:rFonts w:asciiTheme="minorHAnsi" w:hAnsiTheme="minorHAnsi" w:cstheme="minorHAnsi"/>
        </w:rPr>
        <w:t>or call (800) 870-6789</w:t>
      </w:r>
      <w:r w:rsidRPr="007E3652">
        <w:rPr>
          <w:rFonts w:asciiTheme="minorHAnsi" w:hAnsiTheme="minorHAnsi" w:cstheme="minorHAnsi"/>
          <w:b/>
        </w:rPr>
        <w:t>.</w:t>
      </w:r>
    </w:p>
    <w:p w:rsidR="006A2869" w:rsidRPr="007E3652" w:rsidRDefault="006A2869" w:rsidP="006A2869">
      <w:pPr>
        <w:rPr>
          <w:rFonts w:asciiTheme="minorHAnsi" w:hAnsiTheme="minorHAnsi" w:cstheme="minorHAnsi"/>
          <w:b/>
        </w:rPr>
      </w:pPr>
    </w:p>
    <w:p w:rsidR="006A2869" w:rsidRPr="007E3652" w:rsidRDefault="006A2869" w:rsidP="006A2869">
      <w:pPr>
        <w:rPr>
          <w:rFonts w:asciiTheme="minorHAnsi" w:hAnsiTheme="minorHAnsi" w:cstheme="minorHAnsi"/>
        </w:rPr>
      </w:pPr>
      <w:r w:rsidRPr="007E3652">
        <w:rPr>
          <w:rFonts w:asciiTheme="minorHAnsi" w:hAnsiTheme="minorHAnsi" w:cstheme="minorHAnsi"/>
          <w:b/>
          <w:highlight w:val="white"/>
        </w:rPr>
        <w:t>About YTI Career Institute:</w:t>
      </w:r>
      <w:r w:rsidRPr="007E3652">
        <w:rPr>
          <w:rFonts w:asciiTheme="minorHAnsi" w:hAnsiTheme="minorHAnsi" w:cstheme="minorHAnsi"/>
          <w:highlight w:val="white"/>
        </w:rPr>
        <w:t xml:space="preserve"> YTI is a private, post-secondary technical institution of higher education serving south-central Pennsylvania at the York, Lancaster, and Altoona campuses. YTI Career Institute offers career training in the </w:t>
      </w:r>
      <w:hyperlink r:id="rId8">
        <w:r w:rsidRPr="007E3652">
          <w:rPr>
            <w:rStyle w:val="Hyperlink"/>
            <w:rFonts w:asciiTheme="minorHAnsi" w:hAnsiTheme="minorHAnsi" w:cstheme="minorHAnsi"/>
            <w:highlight w:val="white"/>
          </w:rPr>
          <w:t>computer</w:t>
        </w:r>
      </w:hyperlink>
      <w:r w:rsidRPr="007E3652">
        <w:rPr>
          <w:rFonts w:asciiTheme="minorHAnsi" w:hAnsiTheme="minorHAnsi" w:cstheme="minorHAnsi"/>
          <w:highlight w:val="white"/>
        </w:rPr>
        <w:t xml:space="preserve">, </w:t>
      </w:r>
      <w:hyperlink r:id="rId9">
        <w:r w:rsidRPr="007E3652">
          <w:rPr>
            <w:rStyle w:val="Hyperlink"/>
            <w:rFonts w:asciiTheme="minorHAnsi" w:hAnsiTheme="minorHAnsi" w:cstheme="minorHAnsi"/>
            <w:highlight w:val="white"/>
          </w:rPr>
          <w:t>culinary arts</w:t>
        </w:r>
      </w:hyperlink>
      <w:r w:rsidRPr="007E3652">
        <w:rPr>
          <w:rFonts w:asciiTheme="minorHAnsi" w:hAnsiTheme="minorHAnsi" w:cstheme="minorHAnsi"/>
          <w:highlight w:val="white"/>
        </w:rPr>
        <w:t xml:space="preserve">, </w:t>
      </w:r>
      <w:hyperlink r:id="rId10">
        <w:r w:rsidRPr="007E3652">
          <w:rPr>
            <w:rStyle w:val="Hyperlink"/>
            <w:rFonts w:asciiTheme="minorHAnsi" w:hAnsiTheme="minorHAnsi" w:cstheme="minorHAnsi"/>
            <w:highlight w:val="white"/>
          </w:rPr>
          <w:t>healthcare</w:t>
        </w:r>
      </w:hyperlink>
      <w:r w:rsidRPr="007E3652">
        <w:rPr>
          <w:rFonts w:asciiTheme="minorHAnsi" w:hAnsiTheme="minorHAnsi" w:cstheme="minorHAnsi"/>
          <w:highlight w:val="white"/>
        </w:rPr>
        <w:t xml:space="preserve"> and skilled </w:t>
      </w:r>
      <w:hyperlink r:id="rId11" w:history="1">
        <w:r w:rsidRPr="007E3652">
          <w:rPr>
            <w:rStyle w:val="Hyperlink"/>
            <w:rFonts w:asciiTheme="minorHAnsi" w:hAnsiTheme="minorHAnsi" w:cstheme="minorHAnsi"/>
            <w:highlight w:val="white"/>
          </w:rPr>
          <w:t>trades</w:t>
        </w:r>
      </w:hyperlink>
      <w:r w:rsidRPr="007E3652">
        <w:rPr>
          <w:rFonts w:asciiTheme="minorHAnsi" w:hAnsiTheme="minorHAnsi" w:cstheme="minorHAnsi"/>
          <w:highlight w:val="white"/>
        </w:rPr>
        <w:t xml:space="preserve"> fields. For more information, visit </w:t>
      </w:r>
      <w:hyperlink r:id="rId12">
        <w:r w:rsidRPr="007E3652">
          <w:rPr>
            <w:rStyle w:val="Hyperlink"/>
            <w:rFonts w:asciiTheme="minorHAnsi" w:hAnsiTheme="minorHAnsi" w:cstheme="minorHAnsi"/>
            <w:highlight w:val="white"/>
          </w:rPr>
          <w:t>www.yti.edu</w:t>
        </w:r>
      </w:hyperlink>
      <w:r w:rsidRPr="007E3652">
        <w:rPr>
          <w:rFonts w:asciiTheme="minorHAnsi" w:hAnsiTheme="minorHAnsi" w:cstheme="minorHAnsi"/>
          <w:highlight w:val="white"/>
        </w:rPr>
        <w:t>.</w:t>
      </w:r>
    </w:p>
    <w:sectPr w:rsidR="006A2869" w:rsidRPr="007E3652">
      <w:type w:val="continuous"/>
      <w:pgSz w:w="12240" w:h="15840"/>
      <w:pgMar w:top="740" w:right="110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EA04B1"/>
    <w:multiLevelType w:val="multilevel"/>
    <w:tmpl w:val="71845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A9A"/>
    <w:rsid w:val="001054DC"/>
    <w:rsid w:val="003B294D"/>
    <w:rsid w:val="00451D49"/>
    <w:rsid w:val="004D28DB"/>
    <w:rsid w:val="006A2869"/>
    <w:rsid w:val="007E3652"/>
    <w:rsid w:val="009535D9"/>
    <w:rsid w:val="009E0519"/>
    <w:rsid w:val="00A50DD7"/>
    <w:rsid w:val="00CF2A9A"/>
    <w:rsid w:val="00E37D12"/>
    <w:rsid w:val="00F13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38155"/>
  <w15:docId w15:val="{49B89B0B-96E8-47B1-A13C-D1FF88FC0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3">
    <w:name w:val="heading 3"/>
    <w:basedOn w:val="Normal"/>
    <w:link w:val="Heading3Char"/>
    <w:uiPriority w:val="9"/>
    <w:qFormat/>
    <w:rsid w:val="009E0519"/>
    <w:pPr>
      <w:widowControl/>
      <w:autoSpaceDE/>
      <w:autoSpaceDN/>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Title">
    <w:name w:val="Title"/>
    <w:basedOn w:val="Normal"/>
    <w:uiPriority w:val="1"/>
    <w:qFormat/>
    <w:pPr>
      <w:spacing w:before="1"/>
      <w:ind w:left="445" w:right="683"/>
      <w:jc w:val="center"/>
    </w:pPr>
    <w:rPr>
      <w:b/>
      <w:bCs/>
      <w:sz w:val="28"/>
      <w:szCs w:val="28"/>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unhideWhenUsed/>
    <w:rsid w:val="00A50DD7"/>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A50DD7"/>
    <w:rPr>
      <w:b/>
      <w:bCs/>
    </w:rPr>
  </w:style>
  <w:style w:type="character" w:styleId="Hyperlink">
    <w:name w:val="Hyperlink"/>
    <w:basedOn w:val="DefaultParagraphFont"/>
    <w:uiPriority w:val="99"/>
    <w:unhideWhenUsed/>
    <w:rsid w:val="009535D9"/>
    <w:rPr>
      <w:color w:val="0000FF"/>
      <w:u w:val="single"/>
    </w:rPr>
  </w:style>
  <w:style w:type="character" w:customStyle="1" w:styleId="Heading3Char">
    <w:name w:val="Heading 3 Char"/>
    <w:basedOn w:val="DefaultParagraphFont"/>
    <w:link w:val="Heading3"/>
    <w:uiPriority w:val="9"/>
    <w:rsid w:val="009E0519"/>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513696">
      <w:bodyDiv w:val="1"/>
      <w:marLeft w:val="0"/>
      <w:marRight w:val="0"/>
      <w:marTop w:val="0"/>
      <w:marBottom w:val="0"/>
      <w:divBdr>
        <w:top w:val="none" w:sz="0" w:space="0" w:color="auto"/>
        <w:left w:val="none" w:sz="0" w:space="0" w:color="auto"/>
        <w:bottom w:val="none" w:sz="0" w:space="0" w:color="auto"/>
        <w:right w:val="none" w:sz="0" w:space="0" w:color="auto"/>
      </w:divBdr>
    </w:div>
    <w:div w:id="1148666659">
      <w:bodyDiv w:val="1"/>
      <w:marLeft w:val="0"/>
      <w:marRight w:val="0"/>
      <w:marTop w:val="0"/>
      <w:marBottom w:val="0"/>
      <w:divBdr>
        <w:top w:val="none" w:sz="0" w:space="0" w:color="auto"/>
        <w:left w:val="none" w:sz="0" w:space="0" w:color="auto"/>
        <w:bottom w:val="none" w:sz="0" w:space="0" w:color="auto"/>
        <w:right w:val="none" w:sz="0" w:space="0" w:color="auto"/>
      </w:divBdr>
    </w:div>
    <w:div w:id="1318262567">
      <w:bodyDiv w:val="1"/>
      <w:marLeft w:val="0"/>
      <w:marRight w:val="0"/>
      <w:marTop w:val="0"/>
      <w:marBottom w:val="0"/>
      <w:divBdr>
        <w:top w:val="none" w:sz="0" w:space="0" w:color="auto"/>
        <w:left w:val="none" w:sz="0" w:space="0" w:color="auto"/>
        <w:bottom w:val="none" w:sz="0" w:space="0" w:color="auto"/>
        <w:right w:val="none" w:sz="0" w:space="0" w:color="auto"/>
      </w:divBdr>
    </w:div>
    <w:div w:id="1439641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yti.edu/programs/computer-program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orterChester.edu/" TargetMode="External"/><Relationship Id="rId12" Type="http://schemas.openxmlformats.org/officeDocument/2006/relationships/hyperlink" Target="http://www.yti.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trades" TargetMode="External"/><Relationship Id="rId5" Type="http://schemas.openxmlformats.org/officeDocument/2006/relationships/image" Target="media/image1.jpeg"/><Relationship Id="rId10" Type="http://schemas.openxmlformats.org/officeDocument/2006/relationships/hyperlink" Target="https://yti.edu/programs/medical-programs" TargetMode="External"/><Relationship Id="rId4" Type="http://schemas.openxmlformats.org/officeDocument/2006/relationships/webSettings" Target="webSettings.xml"/><Relationship Id="rId9" Type="http://schemas.openxmlformats.org/officeDocument/2006/relationships/hyperlink" Target="https://yti.edu/paschoolofculinaryar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427</Words>
  <Characters>2435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PCI Hamden Blood Drive Press Release.docx</vt:lpstr>
    </vt:vector>
  </TitlesOfParts>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PCI Hamden Blood Drive Press Release.docx</dc:title>
  <dc:creator>Desiree Morris</dc:creator>
  <cp:lastModifiedBy>Desiree Morris</cp:lastModifiedBy>
  <cp:revision>5</cp:revision>
  <dcterms:created xsi:type="dcterms:W3CDTF">2025-04-14T19:01:00Z</dcterms:created>
  <dcterms:modified xsi:type="dcterms:W3CDTF">2025-04-15T13:39:00Z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m117 Google Docs Renderer</vt:lpwstr>
  </property>
</Properties>
</file>